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2FC4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微软雅黑" w:hAnsi="微软雅黑" w:eastAsia="微软雅黑" w:cs="微软雅黑"/>
          <w:b w:val="0"/>
          <w:bCs w:val="0"/>
          <w:sz w:val="44"/>
          <w:szCs w:val="44"/>
        </w:rPr>
        <w:t>202</w:t>
      </w:r>
      <w:r>
        <w:rPr>
          <w:rFonts w:hint="eastAsia" w:ascii="微软雅黑" w:hAnsi="微软雅黑" w:eastAsia="微软雅黑" w:cs="微软雅黑"/>
          <w:b w:val="0"/>
          <w:bCs w:val="0"/>
          <w:sz w:val="44"/>
          <w:szCs w:val="44"/>
          <w:lang w:val="en-US" w:eastAsia="zh-CN"/>
        </w:rPr>
        <w:t>6</w:t>
      </w:r>
      <w:r>
        <w:rPr>
          <w:rFonts w:hint="eastAsia" w:ascii="微软雅黑" w:hAnsi="微软雅黑" w:eastAsia="微软雅黑" w:cs="微软雅黑"/>
          <w:b w:val="0"/>
          <w:bCs w:val="0"/>
          <w:sz w:val="44"/>
          <w:szCs w:val="44"/>
        </w:rPr>
        <w:t>年</w:t>
      </w:r>
      <w:r>
        <w:rPr>
          <w:rFonts w:hint="eastAsia" w:ascii="微软雅黑" w:hAnsi="微软雅黑" w:eastAsia="微软雅黑" w:cs="微软雅黑"/>
          <w:b w:val="0"/>
          <w:bCs w:val="0"/>
          <w:sz w:val="44"/>
          <w:szCs w:val="44"/>
          <w:lang w:val="en-US" w:eastAsia="zh-CN"/>
        </w:rPr>
        <w:t>男子篮球</w:t>
      </w:r>
      <w:r>
        <w:rPr>
          <w:rFonts w:hint="eastAsia" w:ascii="微软雅黑" w:hAnsi="微软雅黑" w:eastAsia="微软雅黑" w:cs="微软雅黑"/>
          <w:b w:val="0"/>
          <w:bCs w:val="0"/>
          <w:sz w:val="44"/>
          <w:szCs w:val="44"/>
        </w:rPr>
        <w:t>体育特定类型招生简章</w:t>
      </w:r>
    </w:p>
    <w:p w14:paraId="2A24F41D">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（南京</w:t>
      </w:r>
      <w:r>
        <w:rPr>
          <w:rFonts w:hint="eastAsia" w:ascii="仿宋_GB2312" w:hAnsi="仿宋_GB2312" w:eastAsia="仿宋_GB2312" w:cs="仿宋_GB2312"/>
          <w:b w:val="0"/>
          <w:bCs w:val="0"/>
          <w:sz w:val="32"/>
          <w:szCs w:val="32"/>
          <w:lang w:eastAsia="zh-CN"/>
        </w:rPr>
        <w:t>市</w:t>
      </w:r>
      <w:r>
        <w:rPr>
          <w:rFonts w:hint="eastAsia" w:ascii="仿宋_GB2312" w:hAnsi="仿宋_GB2312" w:eastAsia="仿宋_GB2312" w:cs="仿宋_GB2312"/>
          <w:b w:val="0"/>
          <w:bCs w:val="0"/>
          <w:sz w:val="32"/>
          <w:szCs w:val="32"/>
          <w:lang w:val="en-US" w:eastAsia="zh-CN"/>
        </w:rPr>
        <w:t>雨花台</w:t>
      </w:r>
      <w:r>
        <w:rPr>
          <w:rFonts w:hint="eastAsia" w:ascii="仿宋_GB2312" w:hAnsi="仿宋_GB2312" w:eastAsia="仿宋_GB2312" w:cs="仿宋_GB2312"/>
          <w:b w:val="0"/>
          <w:bCs w:val="0"/>
          <w:sz w:val="32"/>
          <w:szCs w:val="32"/>
          <w:lang w:eastAsia="zh-CN"/>
        </w:rPr>
        <w:t>初级中学</w:t>
      </w:r>
      <w:r>
        <w:rPr>
          <w:rFonts w:hint="eastAsia" w:ascii="仿宋_GB2312" w:hAnsi="仿宋_GB2312" w:eastAsia="仿宋_GB2312" w:cs="仿宋_GB2312"/>
          <w:b w:val="0"/>
          <w:bCs w:val="0"/>
          <w:sz w:val="32"/>
          <w:szCs w:val="32"/>
          <w:lang w:val="en-US" w:eastAsia="zh-CN"/>
        </w:rPr>
        <w:t xml:space="preserve">  男子篮球项目</w:t>
      </w:r>
      <w:r>
        <w:rPr>
          <w:rFonts w:hint="eastAsia" w:ascii="仿宋_GB2312" w:hAnsi="仿宋_GB2312" w:eastAsia="仿宋_GB2312" w:cs="仿宋_GB2312"/>
          <w:b w:val="0"/>
          <w:bCs w:val="0"/>
          <w:sz w:val="32"/>
          <w:szCs w:val="32"/>
        </w:rPr>
        <w:t>）</w:t>
      </w:r>
    </w:p>
    <w:p w14:paraId="54F9BBE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BDC7B2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一、招生项目和人数</w:t>
      </w:r>
    </w:p>
    <w:p w14:paraId="585FB3CB">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男子篮球；12人。</w:t>
      </w:r>
    </w:p>
    <w:p w14:paraId="2E04ACF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二、招生对象</w:t>
      </w:r>
    </w:p>
    <w:p w14:paraId="55CA6EF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符合当年南京市义务教育招生入学政策</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小学毕业生</w:t>
      </w:r>
      <w:r>
        <w:rPr>
          <w:rFonts w:hint="eastAsia" w:ascii="仿宋_GB2312" w:hAnsi="仿宋_GB2312" w:eastAsia="仿宋_GB2312" w:cs="仿宋_GB2312"/>
          <w:sz w:val="32"/>
          <w:szCs w:val="32"/>
          <w:lang w:val="en-US" w:eastAsia="zh-CN"/>
        </w:rPr>
        <w:t>且</w:t>
      </w:r>
      <w:r>
        <w:rPr>
          <w:rFonts w:hint="eastAsia" w:ascii="仿宋_GB2312" w:hAnsi="仿宋_GB2312" w:eastAsia="仿宋_GB2312" w:cs="仿宋_GB2312"/>
          <w:sz w:val="32"/>
          <w:szCs w:val="32"/>
        </w:rPr>
        <w:t>符合下列条件的，可选择一所学校一个项目报名。</w:t>
      </w:r>
    </w:p>
    <w:p w14:paraId="0B80416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（一）运动员注册：代表南京市在“江苏体育统一身份认证平台”完成运动员注册。因客观原因尚未完成注册的，须在报名材料现场审核时，与项目联办体校签订注册协议。</w:t>
      </w:r>
    </w:p>
    <w:p w14:paraId="06D2300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（二）文化成绩：</w:t>
      </w:r>
      <w:r>
        <w:rPr>
          <w:rFonts w:hint="eastAsia" w:ascii="仿宋_GB2312" w:hAnsi="仿宋_GB2312" w:eastAsia="仿宋_GB2312" w:cs="仿宋_GB2312"/>
          <w:sz w:val="32"/>
          <w:szCs w:val="32"/>
        </w:rPr>
        <w:t>小学阶段</w:t>
      </w:r>
      <w:r>
        <w:rPr>
          <w:rFonts w:hint="eastAsia" w:ascii="仿宋_GB2312" w:hAnsi="仿宋_GB2312" w:eastAsia="仿宋_GB2312" w:cs="仿宋_GB2312"/>
          <w:sz w:val="32"/>
          <w:szCs w:val="32"/>
          <w:lang w:val="en-US" w:eastAsia="zh-CN"/>
        </w:rPr>
        <w:t>品德优秀，四、五、六年级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不含六年级下学期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我的成长脚印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综合评价优良。</w:t>
      </w:r>
    </w:p>
    <w:p w14:paraId="6C50465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（三）专业成绩：</w:t>
      </w:r>
      <w:r>
        <w:rPr>
          <w:rFonts w:hint="eastAsia" w:ascii="仿宋_GB2312" w:hAnsi="仿宋_GB2312" w:eastAsia="仿宋_GB2312" w:cs="仿宋_GB2312"/>
          <w:sz w:val="32"/>
          <w:szCs w:val="32"/>
        </w:rPr>
        <w:t>小学阶段</w:t>
      </w:r>
      <w:r>
        <w:rPr>
          <w:rFonts w:hint="eastAsia" w:ascii="仿宋_GB2312" w:hAnsi="仿宋_GB2312" w:eastAsia="仿宋_GB2312" w:cs="仿宋_GB2312"/>
          <w:sz w:val="32"/>
          <w:szCs w:val="32"/>
          <w:lang w:val="en-US" w:eastAsia="zh-CN"/>
        </w:rPr>
        <w:t>获得报考项目国家二级运动员证书或者获得报考项目南京市</w:t>
      </w:r>
      <w:r>
        <w:rPr>
          <w:rFonts w:hint="eastAsia" w:ascii="仿宋_GB2312" w:hAnsi="仿宋_GB2312" w:eastAsia="仿宋_GB2312" w:cs="仿宋_GB2312"/>
          <w:sz w:val="32"/>
          <w:szCs w:val="32"/>
        </w:rPr>
        <w:t>教育、体育行政部门</w:t>
      </w:r>
      <w:r>
        <w:rPr>
          <w:rFonts w:hint="eastAsia" w:ascii="仿宋_GB2312" w:hAnsi="仿宋_GB2312" w:eastAsia="仿宋_GB2312" w:cs="仿宋_GB2312"/>
          <w:sz w:val="32"/>
          <w:szCs w:val="32"/>
          <w:lang w:val="en-US" w:eastAsia="zh-CN"/>
        </w:rPr>
        <w:t>主办</w:t>
      </w:r>
      <w:r>
        <w:rPr>
          <w:rFonts w:hint="eastAsia" w:ascii="仿宋_GB2312" w:hAnsi="仿宋_GB2312" w:eastAsia="仿宋_GB2312" w:cs="仿宋_GB2312"/>
          <w:sz w:val="32"/>
          <w:szCs w:val="32"/>
        </w:rPr>
        <w:t>的体育竞赛前三名</w:t>
      </w:r>
      <w:r>
        <w:rPr>
          <w:rFonts w:hint="eastAsia" w:ascii="仿宋_GB2312" w:hAnsi="仿宋_GB2312" w:eastAsia="仿宋_GB2312" w:cs="仿宋_GB2312"/>
          <w:sz w:val="32"/>
          <w:szCs w:val="32"/>
          <w:lang w:val="en-US" w:eastAsia="zh-CN"/>
        </w:rPr>
        <w:t>或江苏省及以上</w:t>
      </w:r>
      <w:r>
        <w:rPr>
          <w:rFonts w:hint="eastAsia" w:ascii="仿宋_GB2312" w:hAnsi="仿宋_GB2312" w:eastAsia="仿宋_GB2312" w:cs="仿宋_GB2312"/>
          <w:sz w:val="32"/>
          <w:szCs w:val="32"/>
        </w:rPr>
        <w:t>教育、体育行政部门</w:t>
      </w:r>
      <w:r>
        <w:rPr>
          <w:rFonts w:hint="eastAsia" w:ascii="仿宋_GB2312" w:hAnsi="仿宋_GB2312" w:eastAsia="仿宋_GB2312" w:cs="仿宋_GB2312"/>
          <w:sz w:val="32"/>
          <w:szCs w:val="32"/>
          <w:lang w:val="en-US" w:eastAsia="zh-CN"/>
        </w:rPr>
        <w:t>主办</w:t>
      </w:r>
      <w:r>
        <w:rPr>
          <w:rFonts w:hint="eastAsia" w:ascii="仿宋_GB2312" w:hAnsi="仿宋_GB2312" w:eastAsia="仿宋_GB2312" w:cs="仿宋_GB2312"/>
          <w:sz w:val="32"/>
          <w:szCs w:val="32"/>
        </w:rPr>
        <w:t>的体育竞赛</w:t>
      </w:r>
      <w:r>
        <w:rPr>
          <w:rFonts w:hint="eastAsia" w:ascii="仿宋_GB2312" w:hAnsi="仿宋_GB2312" w:eastAsia="仿宋_GB2312" w:cs="仿宋_GB2312"/>
          <w:sz w:val="32"/>
          <w:szCs w:val="32"/>
          <w:lang w:val="en-US" w:eastAsia="zh-CN"/>
        </w:rPr>
        <w:t>前八名。以上专业成绩均以</w:t>
      </w:r>
      <w:r>
        <w:rPr>
          <w:rFonts w:hint="eastAsia" w:ascii="仿宋_GB2312" w:hAnsi="仿宋_GB2312" w:eastAsia="仿宋_GB2312" w:cs="仿宋_GB2312"/>
          <w:sz w:val="32"/>
          <w:szCs w:val="32"/>
        </w:rPr>
        <w:t>竞赛成绩册或证书为准</w:t>
      </w:r>
      <w:r>
        <w:rPr>
          <w:rFonts w:hint="eastAsia" w:ascii="仿宋_GB2312" w:hAnsi="仿宋_GB2312" w:eastAsia="仿宋_GB2312" w:cs="仿宋_GB2312"/>
          <w:sz w:val="32"/>
          <w:szCs w:val="32"/>
          <w:lang w:eastAsia="zh-CN"/>
        </w:rPr>
        <w:t>。</w:t>
      </w:r>
    </w:p>
    <w:p w14:paraId="3ABA2F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三、招生流程</w:t>
      </w:r>
    </w:p>
    <w:p w14:paraId="0259A1B9">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（一）请报名</w:t>
      </w:r>
      <w:r>
        <w:rPr>
          <w:rFonts w:hint="eastAsia" w:ascii="仿宋_GB2312" w:hAnsi="仿宋_GB2312" w:eastAsia="仿宋_GB2312" w:cs="仿宋_GB2312"/>
          <w:color w:val="auto"/>
          <w:sz w:val="32"/>
          <w:szCs w:val="32"/>
          <w:lang w:val="en-US" w:eastAsia="zh-CN"/>
        </w:rPr>
        <w:t>学生于2026年6月2日-3日</w:t>
      </w:r>
      <w:r>
        <w:rPr>
          <w:rFonts w:hint="eastAsia" w:ascii="仿宋" w:hAnsi="仿宋" w:eastAsia="仿宋" w:cs="仿宋"/>
          <w:color w:val="auto"/>
          <w:sz w:val="32"/>
          <w:szCs w:val="32"/>
        </w:rPr>
        <w:t>在</w:t>
      </w:r>
      <w:r>
        <w:rPr>
          <w:rFonts w:hint="eastAsia" w:ascii="仿宋" w:hAnsi="仿宋" w:eastAsia="仿宋" w:cs="仿宋"/>
          <w:sz w:val="32"/>
          <w:szCs w:val="32"/>
        </w:rPr>
        <w:t>“南京市初中体育艺术特定类型招生报名平台”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w:t>
      </w:r>
      <w:r>
        <w:rPr>
          <w:rFonts w:hint="eastAsia" w:ascii="仿宋_GB2312" w:hAnsi="仿宋_GB2312" w:eastAsia="仿宋_GB2312" w:cs="仿宋_GB2312"/>
          <w:color w:val="auto"/>
          <w:sz w:val="32"/>
          <w:szCs w:val="32"/>
          <w:lang w:val="en-US" w:eastAsia="zh-CN"/>
        </w:rPr>
        <w:t>需要线下提交的纸质报名材料有：</w:t>
      </w:r>
      <w:r>
        <w:rPr>
          <w:rFonts w:hint="eastAsia" w:ascii="仿宋_GB2312" w:hAnsi="仿宋_GB2312" w:eastAsia="仿宋_GB2312" w:cs="仿宋_GB2312"/>
          <w:sz w:val="32"/>
          <w:szCs w:val="32"/>
          <w:lang w:val="en-US" w:eastAsia="zh-CN"/>
        </w:rPr>
        <w:t>竞赛成绩证书原件及复印件、四至六年级成长手册原件及复印件、身份证原件及复印件、1寸数码照片（学生报名项目必须与提交的专业成绩证明材料项目一致）。</w:t>
      </w:r>
      <w:r>
        <w:rPr>
          <w:rFonts w:hint="eastAsia" w:ascii="仿宋_GB2312" w:hAnsi="仿宋_GB2312" w:eastAsia="仿宋_GB2312" w:cs="仿宋_GB2312"/>
          <w:color w:val="auto"/>
          <w:sz w:val="32"/>
          <w:szCs w:val="32"/>
          <w:lang w:val="en-US" w:eastAsia="zh-CN"/>
        </w:rPr>
        <w:t>请于2026年6月5日</w:t>
      </w:r>
      <w:r>
        <w:rPr>
          <w:rFonts w:hint="eastAsia" w:ascii="仿宋_GB2312" w:hAnsi="仿宋_GB2312" w:eastAsia="仿宋_GB2312" w:cs="仿宋_GB2312"/>
          <w:sz w:val="32"/>
          <w:szCs w:val="32"/>
          <w:lang w:val="en-US" w:eastAsia="zh-CN"/>
        </w:rPr>
        <w:t>11:00前，到南京市中山东路体育运动学校训练科（南京市玄武区中山东路145号）提交纸质报名材料；联系人：刘老师；联系电话：025-83357386。</w:t>
      </w:r>
    </w:p>
    <w:p w14:paraId="7478BFC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color w:val="auto"/>
          <w:sz w:val="32"/>
          <w:szCs w:val="32"/>
          <w:lang w:val="en-US" w:eastAsia="zh-CN"/>
        </w:rPr>
        <w:t>（二）2026年6月5日下午，南京市中山东路体育运动学校和南京市雨花台初级中学共同对报名学生材料进行审核。6月6日，审核合格的报名学生名单将在南京市体育局网站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color w:val="auto"/>
          <w:sz w:val="32"/>
          <w:szCs w:val="32"/>
          <w:lang w:val="en-US" w:eastAsia="zh-CN"/>
        </w:rPr>
        <w:t>和南京市雨花台初级中学网站（http://yhtcjzx.yhjyxx.cn/）、南京市中山东路体育运动学校网站</w:t>
      </w:r>
      <w:r>
        <w:rPr>
          <w:rFonts w:hint="eastAsia" w:ascii="仿宋_GB2312" w:hAnsi="仿宋_GB2312" w:eastAsia="仿宋_GB2312" w:cs="仿宋_GB2312"/>
          <w:sz w:val="32"/>
          <w:szCs w:val="32"/>
        </w:rPr>
        <w:t>（http://www.zsdltx.com）</w:t>
      </w:r>
      <w:r>
        <w:rPr>
          <w:rFonts w:hint="eastAsia" w:ascii="仿宋_GB2312" w:hAnsi="仿宋_GB2312" w:eastAsia="仿宋_GB2312" w:cs="仿宋_GB2312"/>
          <w:color w:val="auto"/>
          <w:sz w:val="32"/>
          <w:szCs w:val="32"/>
          <w:lang w:val="en-US" w:eastAsia="zh-CN"/>
        </w:rPr>
        <w:t>进行公示（公示期3天）。6月13日，将对公示无异议的报名学生发放专业测试准考证。</w:t>
      </w:r>
    </w:p>
    <w:p w14:paraId="7A6D9E4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（三）专业测试</w:t>
      </w:r>
    </w:p>
    <w:p w14:paraId="21CEB83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1.测试时间：2026年6月23日14</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30</w:t>
      </w:r>
    </w:p>
    <w:p w14:paraId="65879B9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2.测试地点：南京市雨花台初级中学篮球馆</w:t>
      </w:r>
    </w:p>
    <w:p w14:paraId="01ECF12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FF0000"/>
          <w:sz w:val="32"/>
          <w:szCs w:val="32"/>
          <w:lang w:val="en-US" w:eastAsia="zh-CN"/>
        </w:rPr>
      </w:pPr>
      <w:r>
        <w:rPr>
          <w:rFonts w:hint="eastAsia" w:ascii="仿宋_GB2312" w:hAnsi="仿宋_GB2312" w:eastAsia="仿宋_GB2312" w:cs="仿宋_GB2312"/>
          <w:color w:val="auto"/>
          <w:sz w:val="32"/>
          <w:szCs w:val="32"/>
          <w:lang w:val="en-US" w:eastAsia="zh-CN"/>
        </w:rPr>
        <w:t>3.测试内容与所占比值：详见附件</w:t>
      </w:r>
    </w:p>
    <w:p w14:paraId="29E58B4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default" w:ascii="仿宋" w:hAnsi="仿宋" w:eastAsia="仿宋" w:cs="仿宋"/>
          <w:color w:val="FF0000"/>
          <w:sz w:val="32"/>
          <w:szCs w:val="32"/>
          <w:lang w:val="en-US" w:eastAsia="zh-CN"/>
        </w:rPr>
      </w:pPr>
      <w:r>
        <w:rPr>
          <w:rFonts w:hint="eastAsia" w:ascii="仿宋_GB2312" w:hAnsi="仿宋_GB2312" w:eastAsia="仿宋_GB2312" w:cs="仿宋_GB2312"/>
          <w:color w:val="auto"/>
          <w:sz w:val="32"/>
          <w:szCs w:val="32"/>
          <w:lang w:val="en-US" w:eastAsia="zh-CN"/>
        </w:rPr>
        <w:t>4.考试方法及评分标准：详见附件</w:t>
      </w:r>
    </w:p>
    <w:p w14:paraId="41E71B1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5.合格线：60分</w:t>
      </w:r>
    </w:p>
    <w:p w14:paraId="2F3969C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测试结果尾数同分排序规则</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测试结果位数相同时按照实战能力(比赛)成绩、专项技术投篮成绩、多种变向运球上篮成绩、专项素质摸高成绩分数高低排序。</w:t>
      </w:r>
    </w:p>
    <w:p w14:paraId="69C2714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四、录取</w:t>
      </w:r>
    </w:p>
    <w:p w14:paraId="1828641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（一）根据报名学生专业测试成绩情况和阵容要求，择优录取。</w:t>
      </w:r>
    </w:p>
    <w:p w14:paraId="0CC7ED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eastAsia="仿宋" w:cs="仿宋"/>
          <w:sz w:val="32"/>
          <w:szCs w:val="32"/>
        </w:rPr>
      </w:pPr>
      <w:r>
        <w:rPr>
          <w:rFonts w:hint="eastAsia" w:ascii="仿宋_GB2312" w:hAnsi="仿宋_GB2312" w:eastAsia="仿宋_GB2312" w:cs="仿宋_GB2312"/>
          <w:sz w:val="32"/>
          <w:szCs w:val="32"/>
          <w:lang w:val="en-US" w:eastAsia="zh-CN"/>
        </w:rPr>
        <w:t>（二）由招生工作领导小组根据专业测试成绩由高到低排名确定拟录取名单（专业测试成绩满分100分，最低录取分数为60分）。测试结果于</w:t>
      </w:r>
      <w:r>
        <w:rPr>
          <w:rFonts w:hint="eastAsia" w:ascii="仿宋_GB2312" w:hAnsi="仿宋_GB2312" w:eastAsia="仿宋_GB2312" w:cs="仿宋_GB2312"/>
          <w:color w:val="auto"/>
          <w:sz w:val="32"/>
          <w:szCs w:val="32"/>
          <w:lang w:val="en-US" w:eastAsia="zh-CN"/>
        </w:rPr>
        <w:t>6月24日</w:t>
      </w:r>
      <w:r>
        <w:rPr>
          <w:rFonts w:hint="eastAsia" w:ascii="仿宋_GB2312" w:hAnsi="仿宋_GB2312" w:eastAsia="仿宋_GB2312" w:cs="仿宋_GB2312"/>
          <w:sz w:val="32"/>
          <w:szCs w:val="32"/>
          <w:lang w:val="en-US" w:eastAsia="zh-CN"/>
        </w:rPr>
        <w:t>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sz w:val="32"/>
          <w:szCs w:val="32"/>
          <w:lang w:val="en-US" w:eastAsia="zh-CN"/>
        </w:rPr>
        <w:t>和南京市雨花台初级中学网站（http://yhtcjzx.yhjyxx.cn/）、南京市中山东路体育运动学校网站</w:t>
      </w:r>
      <w:r>
        <w:rPr>
          <w:rFonts w:hint="eastAsia" w:ascii="仿宋_GB2312" w:hAnsi="仿宋_GB2312" w:eastAsia="仿宋_GB2312" w:cs="仿宋_GB2312"/>
          <w:sz w:val="32"/>
          <w:szCs w:val="32"/>
        </w:rPr>
        <w:t>（http://www.zsdltx.com）</w:t>
      </w:r>
      <w:r>
        <w:rPr>
          <w:rFonts w:hint="eastAsia" w:ascii="仿宋_GB2312" w:hAnsi="仿宋_GB2312" w:eastAsia="仿宋_GB2312" w:cs="仿宋_GB2312"/>
          <w:sz w:val="32"/>
          <w:szCs w:val="32"/>
          <w:lang w:val="en-US" w:eastAsia="zh-CN"/>
        </w:rPr>
        <w:t>（公示期3天）。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14:paraId="680342DB">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6DBA9B58">
      <w:pPr>
        <w:ind w:firstLine="320" w:firstLineChars="100"/>
        <w:rPr>
          <w:rFonts w:hint="eastAsia" w:ascii="仿宋_GB2312" w:hAnsi="仿宋_GB2312" w:eastAsia="仿宋_GB2312" w:cs="仿宋_GB2312"/>
          <w:color w:val="auto"/>
          <w:sz w:val="24"/>
          <w:szCs w:val="24"/>
          <w:lang w:val="en-US" w:eastAsia="zh-CN"/>
        </w:rPr>
      </w:pPr>
      <w:r>
        <w:rPr>
          <w:rFonts w:hint="eastAsia" w:ascii="黑体" w:hAnsi="黑体" w:eastAsia="黑体" w:cs="黑体"/>
          <w:color w:val="auto"/>
          <w:sz w:val="32"/>
          <w:szCs w:val="32"/>
          <w:lang w:val="en-US" w:eastAsia="zh-CN"/>
        </w:rPr>
        <w:t>五、监督电话：</w:t>
      </w:r>
      <w:r>
        <w:rPr>
          <w:rFonts w:hint="eastAsia" w:ascii="仿宋_GB2312" w:hAnsi="仿宋_GB2312" w:eastAsia="仿宋_GB2312" w:cs="仿宋_GB2312"/>
          <w:color w:val="000000" w:themeColor="text1"/>
          <w:kern w:val="0"/>
          <w:sz w:val="32"/>
          <w:szCs w:val="32"/>
          <w14:textFill>
            <w14:solidFill>
              <w14:schemeClr w14:val="tx1"/>
            </w14:solidFill>
          </w14:textFill>
        </w:rPr>
        <w:t>025-</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84416157</w:t>
      </w:r>
    </w:p>
    <w:p w14:paraId="5101D13F">
      <w:pPr>
        <w:keepNext w:val="0"/>
        <w:keepLines w:val="0"/>
        <w:pageBreakBefore w:val="0"/>
        <w:widowControl w:val="0"/>
        <w:kinsoku/>
        <w:wordWrap/>
        <w:overflowPunct/>
        <w:topLinePunct w:val="0"/>
        <w:autoSpaceDE/>
        <w:autoSpaceDN/>
        <w:bidi w:val="0"/>
        <w:adjustRightInd/>
        <w:snapToGrid/>
        <w:spacing w:line="520" w:lineRule="exact"/>
        <w:ind w:firstLine="2560" w:firstLineChars="800"/>
        <w:textAlignment w:val="auto"/>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025-58013688</w:t>
      </w:r>
    </w:p>
    <w:p w14:paraId="230A7016">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32"/>
          <w:szCs w:val="32"/>
          <w:lang w:val="en-US" w:eastAsia="zh-CN"/>
        </w:rPr>
      </w:pPr>
    </w:p>
    <w:p w14:paraId="1C8F17C0">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3336290</wp:posOffset>
            </wp:positionH>
            <wp:positionV relativeFrom="paragraph">
              <wp:posOffset>36830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1042533C">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sz w:val="32"/>
          <w:szCs w:val="32"/>
        </w:rPr>
      </w:pPr>
    </w:p>
    <w:p w14:paraId="2494F80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14:paraId="5A0960E9">
      <w:pPr>
        <w:keepNext w:val="0"/>
        <w:keepLines w:val="0"/>
        <w:pageBreakBefore w:val="0"/>
        <w:widowControl w:val="0"/>
        <w:kinsoku/>
        <w:wordWrap/>
        <w:overflowPunct/>
        <w:topLinePunct w:val="0"/>
        <w:autoSpaceDE/>
        <w:autoSpaceDN/>
        <w:bidi w:val="0"/>
        <w:adjustRightInd/>
        <w:snapToGrid/>
        <w:spacing w:line="520" w:lineRule="exact"/>
        <w:ind w:firstLine="2880" w:firstLineChars="900"/>
        <w:textAlignment w:val="auto"/>
        <w:rPr>
          <w:rFonts w:hint="eastAsia" w:ascii="仿宋" w:hAnsi="仿宋" w:eastAsia="仿宋" w:cs="仿宋"/>
          <w:color w:val="FF0000"/>
          <w:sz w:val="32"/>
          <w:szCs w:val="32"/>
          <w:lang w:val="en-US" w:eastAsia="zh-CN"/>
        </w:rPr>
      </w:pPr>
      <w:r>
        <w:rPr>
          <w:rFonts w:hint="eastAsia" w:ascii="仿宋" w:hAnsi="仿宋" w:eastAsia="仿宋" w:cs="仿宋"/>
          <w:sz w:val="32"/>
          <w:szCs w:val="32"/>
        </w:rPr>
        <w:t>（学生报名二维码）</w:t>
      </w:r>
    </w:p>
    <w:p w14:paraId="1184D0B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ascii="仿宋" w:hAnsi="仿宋" w:eastAsia="仿宋" w:cs="仿宋"/>
          <w:sz w:val="32"/>
          <w:szCs w:val="32"/>
        </w:rPr>
      </w:pPr>
    </w:p>
    <w:p w14:paraId="772D56E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ascii="仿宋" w:hAnsi="仿宋" w:eastAsia="仿宋" w:cs="仿宋"/>
          <w:sz w:val="32"/>
          <w:szCs w:val="32"/>
        </w:rPr>
      </w:pPr>
    </w:p>
    <w:p w14:paraId="6285A14C">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附件：2026年南京市雨花台初级中学男子篮球体育特定类型招生考核评分标准</w:t>
      </w:r>
    </w:p>
    <w:p w14:paraId="4D184EE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ascii="仿宋" w:hAnsi="仿宋" w:eastAsia="仿宋" w:cs="仿宋"/>
          <w:sz w:val="32"/>
          <w:szCs w:val="32"/>
        </w:rPr>
      </w:pPr>
    </w:p>
    <w:p w14:paraId="6D5EBCD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ascii="仿宋" w:hAnsi="仿宋" w:eastAsia="仿宋" w:cs="仿宋"/>
          <w:sz w:val="32"/>
          <w:szCs w:val="32"/>
        </w:rPr>
      </w:pPr>
    </w:p>
    <w:p w14:paraId="0B5FD8F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南京市雨花台初级中学</w:t>
      </w:r>
    </w:p>
    <w:p w14:paraId="5D8B4AA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sz w:val="32"/>
          <w:szCs w:val="32"/>
          <w:lang w:val="en-US" w:eastAsia="zh-CN"/>
        </w:rPr>
        <w:t>男子篮球</w:t>
      </w:r>
      <w:r>
        <w:rPr>
          <w:rFonts w:hint="eastAsia" w:ascii="仿宋" w:hAnsi="仿宋" w:eastAsia="仿宋" w:cs="仿宋"/>
          <w:sz w:val="32"/>
          <w:szCs w:val="32"/>
        </w:rPr>
        <w:t>项目</w:t>
      </w:r>
      <w:r>
        <w:rPr>
          <w:rFonts w:hint="eastAsia" w:ascii="仿宋" w:hAnsi="仿宋" w:eastAsia="仿宋" w:cs="仿宋"/>
          <w:sz w:val="32"/>
          <w:szCs w:val="32"/>
          <w:lang w:val="en-US" w:eastAsia="zh-CN"/>
        </w:rPr>
        <w:t>特定类型</w:t>
      </w:r>
      <w:r>
        <w:rPr>
          <w:rFonts w:hint="eastAsia" w:ascii="仿宋" w:hAnsi="仿宋" w:eastAsia="仿宋" w:cs="仿宋"/>
          <w:sz w:val="32"/>
          <w:szCs w:val="32"/>
        </w:rPr>
        <w:t>招生工作小组</w:t>
      </w:r>
    </w:p>
    <w:p w14:paraId="1903BC5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2026年5月28日</w:t>
      </w:r>
    </w:p>
    <w:p w14:paraId="565226F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sz w:val="32"/>
          <w:szCs w:val="32"/>
          <w:lang w:val="en-US" w:eastAsia="zh-CN"/>
        </w:rPr>
      </w:pPr>
    </w:p>
    <w:p w14:paraId="217D78CA">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sz w:val="32"/>
          <w:szCs w:val="32"/>
          <w:lang w:val="en-US" w:eastAsia="zh-CN"/>
        </w:rPr>
      </w:pPr>
      <w:bookmarkStart w:id="0" w:name="_GoBack"/>
      <w:bookmarkEnd w:id="0"/>
    </w:p>
    <w:p w14:paraId="4AEBA16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w:t>
      </w:r>
    </w:p>
    <w:p w14:paraId="3516BD4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 w:hAnsi="仿宋" w:eastAsia="仿宋" w:cs="仿宋"/>
          <w:sz w:val="32"/>
          <w:szCs w:val="32"/>
          <w:lang w:val="en-US" w:eastAsia="zh-CN"/>
        </w:rPr>
      </w:pPr>
      <w:r>
        <w:rPr>
          <w:rFonts w:hint="eastAsia" w:ascii="微软雅黑" w:hAnsi="微软雅黑" w:eastAsia="微软雅黑" w:cs="微软雅黑"/>
          <w:sz w:val="44"/>
          <w:szCs w:val="44"/>
          <w:lang w:val="en-US" w:eastAsia="zh-CN"/>
        </w:rPr>
        <w:t>2026年南京市雨花台初级中学男子篮球体育特定类型招生考核评分标准</w:t>
      </w:r>
    </w:p>
    <w:p w14:paraId="4F2D7DF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cs="仿宋_GB2312"/>
          <w:color w:val="auto"/>
          <w:sz w:val="32"/>
          <w:szCs w:val="32"/>
          <w:lang w:val="en-US" w:eastAsia="zh-CN"/>
        </w:rPr>
      </w:pPr>
    </w:p>
    <w:p w14:paraId="4461625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一.测试内容与所占比值：详见附件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831"/>
        <w:gridCol w:w="2578"/>
        <w:gridCol w:w="1705"/>
      </w:tblGrid>
      <w:tr w14:paraId="383C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595959" w:themeFill="text1" w:themeFillTint="A5"/>
          </w:tcPr>
          <w:p w14:paraId="1D6007E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t>类别</w:t>
            </w:r>
          </w:p>
        </w:tc>
        <w:tc>
          <w:tcPr>
            <w:tcW w:w="1704" w:type="dxa"/>
            <w:shd w:val="clear" w:color="auto" w:fill="595959" w:themeFill="text1" w:themeFillTint="A5"/>
          </w:tcPr>
          <w:p w14:paraId="7434C55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t>专项素质</w:t>
            </w:r>
          </w:p>
        </w:tc>
        <w:tc>
          <w:tcPr>
            <w:tcW w:w="3409" w:type="dxa"/>
            <w:gridSpan w:val="2"/>
            <w:shd w:val="clear" w:color="auto" w:fill="595959" w:themeFill="text1" w:themeFillTint="A5"/>
          </w:tcPr>
          <w:p w14:paraId="753C5E28">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t>专项技术</w:t>
            </w:r>
          </w:p>
        </w:tc>
        <w:tc>
          <w:tcPr>
            <w:tcW w:w="1705" w:type="dxa"/>
            <w:shd w:val="clear" w:color="auto" w:fill="595959" w:themeFill="text1" w:themeFillTint="A5"/>
          </w:tcPr>
          <w:p w14:paraId="716E30F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val="0"/>
                <w:bCs w:val="0"/>
                <w:color w:val="FFFFFF" w:themeColor="background1"/>
                <w:sz w:val="24"/>
                <w:szCs w:val="24"/>
                <w:vertAlign w:val="baseline"/>
                <w:lang w:val="en-US" w:eastAsia="zh-CN"/>
                <w14:textFill>
                  <w14:solidFill>
                    <w14:schemeClr w14:val="bg1"/>
                  </w14:solidFill>
                </w14:textFill>
              </w:rPr>
              <w:t>实战能力</w:t>
            </w:r>
          </w:p>
        </w:tc>
      </w:tr>
      <w:tr w14:paraId="52C0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F1F1F1" w:themeFill="background1" w:themeFillShade="F2"/>
          </w:tcPr>
          <w:p w14:paraId="33D2C90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考核指标</w:t>
            </w:r>
          </w:p>
        </w:tc>
        <w:tc>
          <w:tcPr>
            <w:tcW w:w="1704" w:type="dxa"/>
            <w:shd w:val="clear" w:color="auto" w:fill="F1F1F1" w:themeFill="background1" w:themeFillShade="F2"/>
          </w:tcPr>
          <w:p w14:paraId="0083A59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摸高</w:t>
            </w:r>
          </w:p>
        </w:tc>
        <w:tc>
          <w:tcPr>
            <w:tcW w:w="831" w:type="dxa"/>
            <w:shd w:val="clear" w:color="auto" w:fill="F1F1F1" w:themeFill="background1" w:themeFillShade="F2"/>
          </w:tcPr>
          <w:p w14:paraId="1333581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投篮</w:t>
            </w:r>
          </w:p>
        </w:tc>
        <w:tc>
          <w:tcPr>
            <w:tcW w:w="2578" w:type="dxa"/>
            <w:shd w:val="clear" w:color="auto" w:fill="F1F1F1" w:themeFill="background1" w:themeFillShade="F2"/>
          </w:tcPr>
          <w:p w14:paraId="37D30B4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多种变向运球上篮</w:t>
            </w:r>
          </w:p>
        </w:tc>
        <w:tc>
          <w:tcPr>
            <w:tcW w:w="1705" w:type="dxa"/>
            <w:shd w:val="clear" w:color="auto" w:fill="F1F1F1" w:themeFill="background1" w:themeFillShade="F2"/>
          </w:tcPr>
          <w:p w14:paraId="30B2F7F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比赛</w:t>
            </w:r>
          </w:p>
        </w:tc>
      </w:tr>
      <w:tr w14:paraId="0D1F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shd w:val="clear" w:color="auto" w:fill="D7D7D7" w:themeFill="background1" w:themeFillShade="D8"/>
          </w:tcPr>
          <w:p w14:paraId="1851399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分值</w:t>
            </w:r>
          </w:p>
        </w:tc>
        <w:tc>
          <w:tcPr>
            <w:tcW w:w="1704" w:type="dxa"/>
            <w:shd w:val="clear" w:color="auto" w:fill="D7D7D7" w:themeFill="background1" w:themeFillShade="D8"/>
          </w:tcPr>
          <w:p w14:paraId="756BDCA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20分</w:t>
            </w:r>
          </w:p>
        </w:tc>
        <w:tc>
          <w:tcPr>
            <w:tcW w:w="831" w:type="dxa"/>
            <w:shd w:val="clear" w:color="auto" w:fill="D7D7D7" w:themeFill="background1" w:themeFillShade="D8"/>
          </w:tcPr>
          <w:p w14:paraId="4A2577F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20分</w:t>
            </w:r>
          </w:p>
        </w:tc>
        <w:tc>
          <w:tcPr>
            <w:tcW w:w="2578" w:type="dxa"/>
            <w:shd w:val="clear" w:color="auto" w:fill="D7D7D7" w:themeFill="background1" w:themeFillShade="D8"/>
          </w:tcPr>
          <w:p w14:paraId="70755B51">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30分</w:t>
            </w:r>
          </w:p>
        </w:tc>
        <w:tc>
          <w:tcPr>
            <w:tcW w:w="1705" w:type="dxa"/>
            <w:shd w:val="clear" w:color="auto" w:fill="D7D7D7" w:themeFill="background1" w:themeFillShade="D8"/>
          </w:tcPr>
          <w:p w14:paraId="7AF31EC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30分</w:t>
            </w:r>
          </w:p>
        </w:tc>
      </w:tr>
    </w:tbl>
    <w:p w14:paraId="58C30D2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32"/>
          <w:szCs w:val="32"/>
          <w:lang w:val="en-US" w:eastAsia="zh-CN"/>
        </w:rPr>
      </w:pPr>
    </w:p>
    <w:p w14:paraId="754AF01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二.考试方法及评分标准：</w:t>
      </w:r>
    </w:p>
    <w:p w14:paraId="56FF6D8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（一）专项素质</w:t>
      </w:r>
    </w:p>
    <w:p w14:paraId="0E8E5A1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摸高</w:t>
      </w:r>
    </w:p>
    <w:p w14:paraId="7C2EBDD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1.考试方法:考生助跑起跳摸高，单手触摸电子摸高器或有固定标尺的高物，记录绝对高度。助跑距离和起跳方式不限。每人测试2次，取最好成绩(精确到厘米)。</w:t>
      </w:r>
    </w:p>
    <w:p w14:paraId="279843C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2.评分标准:见表1</w:t>
      </w:r>
    </w:p>
    <w:p w14:paraId="300B0D1B">
      <w:pPr>
        <w:widowControl w:val="0"/>
        <w:numPr>
          <w:ilvl w:val="0"/>
          <w:numId w:val="0"/>
        </w:numPr>
        <w:jc w:val="center"/>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表1 摸高评分表（成绩取小数点后二位）</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4"/>
        <w:gridCol w:w="1904"/>
      </w:tblGrid>
      <w:tr w14:paraId="6C69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vMerge w:val="restart"/>
            <w:shd w:val="clear" w:color="auto" w:fill="595959" w:themeFill="text1" w:themeFillTint="A5"/>
            <w:vAlign w:val="center"/>
          </w:tcPr>
          <w:p w14:paraId="01C809E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分值</w:t>
            </w:r>
          </w:p>
        </w:tc>
        <w:tc>
          <w:tcPr>
            <w:tcW w:w="1904" w:type="dxa"/>
            <w:shd w:val="clear" w:color="auto" w:fill="595959" w:themeFill="text1" w:themeFillTint="A5"/>
            <w:vAlign w:val="center"/>
          </w:tcPr>
          <w:p w14:paraId="510D737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成绩（米）</w:t>
            </w:r>
          </w:p>
        </w:tc>
        <w:tc>
          <w:tcPr>
            <w:tcW w:w="1904" w:type="dxa"/>
            <w:vMerge w:val="restart"/>
            <w:shd w:val="clear" w:color="auto" w:fill="595959" w:themeFill="text1" w:themeFillTint="A5"/>
            <w:vAlign w:val="center"/>
          </w:tcPr>
          <w:p w14:paraId="194CB39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仿宋_GB2312" w:hAnsi="方正仿宋_GB2312" w:eastAsia="方正仿宋_GB2312" w:cs="方正仿宋_GB2312"/>
                <w:b/>
                <w:bCs/>
                <w:color w:val="FFFFFF" w:themeColor="background1"/>
                <w:kern w:val="2"/>
                <w:sz w:val="24"/>
                <w:szCs w:val="24"/>
                <w:vertAlign w:val="baseline"/>
                <w:lang w:val="en-US" w:eastAsia="zh-CN" w:bidi="ar-SA"/>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分值</w:t>
            </w:r>
          </w:p>
        </w:tc>
        <w:tc>
          <w:tcPr>
            <w:tcW w:w="1904" w:type="dxa"/>
            <w:shd w:val="clear" w:color="auto" w:fill="595959" w:themeFill="text1" w:themeFillTint="A5"/>
            <w:vAlign w:val="center"/>
          </w:tcPr>
          <w:p w14:paraId="03A7DC6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仿宋_GB2312" w:hAnsi="方正仿宋_GB2312" w:eastAsia="方正仿宋_GB2312" w:cs="方正仿宋_GB2312"/>
                <w:b/>
                <w:bCs/>
                <w:color w:val="FFFFFF" w:themeColor="background1"/>
                <w:kern w:val="2"/>
                <w:sz w:val="24"/>
                <w:szCs w:val="24"/>
                <w:vertAlign w:val="baseline"/>
                <w:lang w:val="en-US" w:eastAsia="zh-CN" w:bidi="ar-SA"/>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成绩（米）</w:t>
            </w:r>
          </w:p>
        </w:tc>
      </w:tr>
      <w:tr w14:paraId="64FD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vMerge w:val="continue"/>
            <w:shd w:val="clear" w:color="auto" w:fill="595959" w:themeFill="text1" w:themeFillTint="A5"/>
            <w:vAlign w:val="center"/>
          </w:tcPr>
          <w:p w14:paraId="4412F96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p>
        </w:tc>
        <w:tc>
          <w:tcPr>
            <w:tcW w:w="1904" w:type="dxa"/>
            <w:shd w:val="clear" w:color="auto" w:fill="595959" w:themeFill="text1" w:themeFillTint="A5"/>
            <w:vAlign w:val="center"/>
          </w:tcPr>
          <w:p w14:paraId="43E3424E">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男</w:t>
            </w:r>
          </w:p>
        </w:tc>
        <w:tc>
          <w:tcPr>
            <w:tcW w:w="1904" w:type="dxa"/>
            <w:vMerge w:val="continue"/>
            <w:shd w:val="clear" w:color="auto" w:fill="595959" w:themeFill="text1" w:themeFillTint="A5"/>
            <w:vAlign w:val="center"/>
          </w:tcPr>
          <w:p w14:paraId="5EB6594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p>
        </w:tc>
        <w:tc>
          <w:tcPr>
            <w:tcW w:w="1904" w:type="dxa"/>
            <w:shd w:val="clear" w:color="auto" w:fill="595959" w:themeFill="text1" w:themeFillTint="A5"/>
            <w:vAlign w:val="center"/>
          </w:tcPr>
          <w:p w14:paraId="5889D52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男</w:t>
            </w:r>
          </w:p>
        </w:tc>
      </w:tr>
      <w:tr w14:paraId="6F82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F1F1F1" w:themeFill="background1" w:themeFillShade="F2"/>
            <w:vAlign w:val="center"/>
          </w:tcPr>
          <w:p w14:paraId="0277341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20</w:t>
            </w:r>
          </w:p>
        </w:tc>
        <w:tc>
          <w:tcPr>
            <w:tcW w:w="1904" w:type="dxa"/>
            <w:shd w:val="clear" w:color="auto" w:fill="F1F1F1" w:themeFill="background1" w:themeFillShade="F2"/>
            <w:vAlign w:val="center"/>
          </w:tcPr>
          <w:p w14:paraId="6573E9C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3</w:t>
            </w:r>
          </w:p>
        </w:tc>
        <w:tc>
          <w:tcPr>
            <w:tcW w:w="1904" w:type="dxa"/>
            <w:shd w:val="clear" w:color="auto" w:fill="F1F1F1" w:themeFill="background1" w:themeFillShade="F2"/>
            <w:vAlign w:val="center"/>
          </w:tcPr>
          <w:p w14:paraId="7FFEDD92">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9</w:t>
            </w:r>
          </w:p>
        </w:tc>
        <w:tc>
          <w:tcPr>
            <w:tcW w:w="1904" w:type="dxa"/>
            <w:shd w:val="clear" w:color="auto" w:fill="F1F1F1" w:themeFill="background1" w:themeFillShade="F2"/>
            <w:vAlign w:val="center"/>
          </w:tcPr>
          <w:p w14:paraId="41B597C3">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2.65</w:t>
            </w:r>
          </w:p>
        </w:tc>
      </w:tr>
      <w:tr w14:paraId="4ADD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D7D7D7" w:themeFill="background1" w:themeFillShade="D8"/>
            <w:vAlign w:val="center"/>
          </w:tcPr>
          <w:p w14:paraId="60DC5F34">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19</w:t>
            </w:r>
          </w:p>
        </w:tc>
        <w:tc>
          <w:tcPr>
            <w:tcW w:w="1904" w:type="dxa"/>
            <w:shd w:val="clear" w:color="auto" w:fill="D7D7D7" w:themeFill="background1" w:themeFillShade="D8"/>
            <w:vAlign w:val="center"/>
          </w:tcPr>
          <w:p w14:paraId="67F41A8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2.98</w:t>
            </w:r>
          </w:p>
        </w:tc>
        <w:tc>
          <w:tcPr>
            <w:tcW w:w="1904" w:type="dxa"/>
            <w:shd w:val="clear" w:color="auto" w:fill="D7D7D7" w:themeFill="background1" w:themeFillShade="D8"/>
            <w:vAlign w:val="center"/>
          </w:tcPr>
          <w:p w14:paraId="3C8F78F8">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8</w:t>
            </w:r>
          </w:p>
        </w:tc>
        <w:tc>
          <w:tcPr>
            <w:tcW w:w="1904" w:type="dxa"/>
            <w:shd w:val="clear" w:color="auto" w:fill="D7D7D7" w:themeFill="background1" w:themeFillShade="D8"/>
            <w:vAlign w:val="center"/>
          </w:tcPr>
          <w:p w14:paraId="5CD1D53B">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2.6</w:t>
            </w:r>
          </w:p>
        </w:tc>
      </w:tr>
      <w:tr w14:paraId="3D78F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F1F1F1" w:themeFill="background1" w:themeFillShade="F2"/>
            <w:vAlign w:val="center"/>
          </w:tcPr>
          <w:p w14:paraId="3CAE593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18</w:t>
            </w:r>
          </w:p>
        </w:tc>
        <w:tc>
          <w:tcPr>
            <w:tcW w:w="1904" w:type="dxa"/>
            <w:shd w:val="clear" w:color="auto" w:fill="F1F1F1" w:themeFill="background1" w:themeFillShade="F2"/>
            <w:vAlign w:val="center"/>
          </w:tcPr>
          <w:p w14:paraId="7516E88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2.97</w:t>
            </w:r>
          </w:p>
        </w:tc>
        <w:tc>
          <w:tcPr>
            <w:tcW w:w="1904" w:type="dxa"/>
            <w:shd w:val="clear" w:color="auto" w:fill="F1F1F1" w:themeFill="background1" w:themeFillShade="F2"/>
            <w:vAlign w:val="center"/>
          </w:tcPr>
          <w:p w14:paraId="7CFA08D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7</w:t>
            </w:r>
          </w:p>
        </w:tc>
        <w:tc>
          <w:tcPr>
            <w:tcW w:w="1904" w:type="dxa"/>
            <w:shd w:val="clear" w:color="auto" w:fill="F1F1F1" w:themeFill="background1" w:themeFillShade="F2"/>
            <w:vAlign w:val="center"/>
          </w:tcPr>
          <w:p w14:paraId="1CEC583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2.55</w:t>
            </w:r>
          </w:p>
        </w:tc>
      </w:tr>
      <w:tr w14:paraId="1465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D7D7D7" w:themeFill="background1" w:themeFillShade="D8"/>
            <w:vAlign w:val="center"/>
          </w:tcPr>
          <w:p w14:paraId="08D7183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17</w:t>
            </w:r>
          </w:p>
        </w:tc>
        <w:tc>
          <w:tcPr>
            <w:tcW w:w="1904" w:type="dxa"/>
            <w:shd w:val="clear" w:color="auto" w:fill="D7D7D7" w:themeFill="background1" w:themeFillShade="D8"/>
            <w:vAlign w:val="center"/>
          </w:tcPr>
          <w:p w14:paraId="7A1416B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2.96</w:t>
            </w:r>
          </w:p>
        </w:tc>
        <w:tc>
          <w:tcPr>
            <w:tcW w:w="1904" w:type="dxa"/>
            <w:shd w:val="clear" w:color="auto" w:fill="D7D7D7" w:themeFill="background1" w:themeFillShade="D8"/>
            <w:vAlign w:val="center"/>
          </w:tcPr>
          <w:p w14:paraId="768B826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6</w:t>
            </w:r>
          </w:p>
        </w:tc>
        <w:tc>
          <w:tcPr>
            <w:tcW w:w="1904" w:type="dxa"/>
            <w:shd w:val="clear" w:color="auto" w:fill="D7D7D7" w:themeFill="background1" w:themeFillShade="D8"/>
            <w:vAlign w:val="center"/>
          </w:tcPr>
          <w:p w14:paraId="365038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2.5</w:t>
            </w:r>
          </w:p>
        </w:tc>
      </w:tr>
      <w:tr w14:paraId="1297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F1F1F1" w:themeFill="background1" w:themeFillShade="F2"/>
            <w:vAlign w:val="center"/>
          </w:tcPr>
          <w:p w14:paraId="242AA2A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16</w:t>
            </w:r>
          </w:p>
        </w:tc>
        <w:tc>
          <w:tcPr>
            <w:tcW w:w="1904" w:type="dxa"/>
            <w:shd w:val="clear" w:color="auto" w:fill="F1F1F1" w:themeFill="background1" w:themeFillShade="F2"/>
            <w:vAlign w:val="center"/>
          </w:tcPr>
          <w:p w14:paraId="607DAFC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2.95</w:t>
            </w:r>
          </w:p>
        </w:tc>
        <w:tc>
          <w:tcPr>
            <w:tcW w:w="1904" w:type="dxa"/>
            <w:shd w:val="clear" w:color="auto" w:fill="F1F1F1" w:themeFill="background1" w:themeFillShade="F2"/>
            <w:vAlign w:val="center"/>
          </w:tcPr>
          <w:p w14:paraId="39753EF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5</w:t>
            </w:r>
          </w:p>
        </w:tc>
        <w:tc>
          <w:tcPr>
            <w:tcW w:w="1904" w:type="dxa"/>
            <w:shd w:val="clear" w:color="auto" w:fill="F1F1F1" w:themeFill="background1" w:themeFillShade="F2"/>
            <w:vAlign w:val="center"/>
          </w:tcPr>
          <w:p w14:paraId="197686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2.45</w:t>
            </w:r>
          </w:p>
        </w:tc>
      </w:tr>
      <w:tr w14:paraId="707C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D7D7D7" w:themeFill="background1" w:themeFillShade="D8"/>
            <w:vAlign w:val="center"/>
          </w:tcPr>
          <w:p w14:paraId="62581E7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15</w:t>
            </w:r>
          </w:p>
        </w:tc>
        <w:tc>
          <w:tcPr>
            <w:tcW w:w="1904" w:type="dxa"/>
            <w:shd w:val="clear" w:color="auto" w:fill="D7D7D7" w:themeFill="background1" w:themeFillShade="D8"/>
            <w:vAlign w:val="center"/>
          </w:tcPr>
          <w:p w14:paraId="082ACBE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2.93</w:t>
            </w:r>
          </w:p>
        </w:tc>
        <w:tc>
          <w:tcPr>
            <w:tcW w:w="1904" w:type="dxa"/>
            <w:shd w:val="clear" w:color="auto" w:fill="D7D7D7" w:themeFill="background1" w:themeFillShade="D8"/>
            <w:vAlign w:val="center"/>
          </w:tcPr>
          <w:p w14:paraId="69DF28B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w:t>
            </w:r>
          </w:p>
        </w:tc>
        <w:tc>
          <w:tcPr>
            <w:tcW w:w="1904" w:type="dxa"/>
            <w:shd w:val="clear" w:color="auto" w:fill="D7D7D7" w:themeFill="background1" w:themeFillShade="D8"/>
            <w:vAlign w:val="center"/>
          </w:tcPr>
          <w:p w14:paraId="1F5C0A3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2.4</w:t>
            </w:r>
          </w:p>
        </w:tc>
      </w:tr>
      <w:tr w14:paraId="2AEB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F1F1F1" w:themeFill="background1" w:themeFillShade="F2"/>
            <w:vAlign w:val="center"/>
          </w:tcPr>
          <w:p w14:paraId="0DD0D52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14</w:t>
            </w:r>
          </w:p>
        </w:tc>
        <w:tc>
          <w:tcPr>
            <w:tcW w:w="1904" w:type="dxa"/>
            <w:shd w:val="clear" w:color="auto" w:fill="F1F1F1" w:themeFill="background1" w:themeFillShade="F2"/>
            <w:vAlign w:val="center"/>
          </w:tcPr>
          <w:p w14:paraId="0CB3EFF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2.9</w:t>
            </w:r>
          </w:p>
        </w:tc>
        <w:tc>
          <w:tcPr>
            <w:tcW w:w="1904" w:type="dxa"/>
            <w:shd w:val="clear" w:color="auto" w:fill="F1F1F1" w:themeFill="background1" w:themeFillShade="F2"/>
            <w:vAlign w:val="center"/>
          </w:tcPr>
          <w:p w14:paraId="3B9D0E0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3</w:t>
            </w:r>
          </w:p>
        </w:tc>
        <w:tc>
          <w:tcPr>
            <w:tcW w:w="1904" w:type="dxa"/>
            <w:shd w:val="clear" w:color="auto" w:fill="F1F1F1" w:themeFill="background1" w:themeFillShade="F2"/>
            <w:vAlign w:val="center"/>
          </w:tcPr>
          <w:p w14:paraId="083BA68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2.35</w:t>
            </w:r>
          </w:p>
        </w:tc>
      </w:tr>
      <w:tr w14:paraId="3FAFF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D7D7D7" w:themeFill="background1" w:themeFillShade="D8"/>
            <w:vAlign w:val="center"/>
          </w:tcPr>
          <w:p w14:paraId="13F05BD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13</w:t>
            </w:r>
          </w:p>
        </w:tc>
        <w:tc>
          <w:tcPr>
            <w:tcW w:w="1904" w:type="dxa"/>
            <w:shd w:val="clear" w:color="auto" w:fill="D7D7D7" w:themeFill="background1" w:themeFillShade="D8"/>
            <w:vAlign w:val="center"/>
          </w:tcPr>
          <w:p w14:paraId="1A1C1E5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2.85</w:t>
            </w:r>
          </w:p>
        </w:tc>
        <w:tc>
          <w:tcPr>
            <w:tcW w:w="1904" w:type="dxa"/>
            <w:shd w:val="clear" w:color="auto" w:fill="D7D7D7" w:themeFill="background1" w:themeFillShade="D8"/>
            <w:vAlign w:val="center"/>
          </w:tcPr>
          <w:p w14:paraId="6E5E625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w:t>
            </w:r>
          </w:p>
        </w:tc>
        <w:tc>
          <w:tcPr>
            <w:tcW w:w="1904" w:type="dxa"/>
            <w:shd w:val="clear" w:color="auto" w:fill="D7D7D7" w:themeFill="background1" w:themeFillShade="D8"/>
            <w:vAlign w:val="center"/>
          </w:tcPr>
          <w:p w14:paraId="2541242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2.3</w:t>
            </w:r>
          </w:p>
        </w:tc>
      </w:tr>
      <w:tr w14:paraId="40F1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auto"/>
            <w:vAlign w:val="center"/>
          </w:tcPr>
          <w:p w14:paraId="1DDEEDA9">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12</w:t>
            </w:r>
          </w:p>
        </w:tc>
        <w:tc>
          <w:tcPr>
            <w:tcW w:w="1904" w:type="dxa"/>
            <w:shd w:val="clear" w:color="auto" w:fill="auto"/>
            <w:vAlign w:val="center"/>
          </w:tcPr>
          <w:p w14:paraId="12F9B3AB">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2.8</w:t>
            </w:r>
          </w:p>
        </w:tc>
        <w:tc>
          <w:tcPr>
            <w:tcW w:w="1904" w:type="dxa"/>
            <w:shd w:val="clear" w:color="auto" w:fill="auto"/>
            <w:vAlign w:val="center"/>
          </w:tcPr>
          <w:p w14:paraId="0B2ECF94">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w:t>
            </w:r>
          </w:p>
        </w:tc>
        <w:tc>
          <w:tcPr>
            <w:tcW w:w="1904" w:type="dxa"/>
            <w:shd w:val="clear" w:color="auto" w:fill="auto"/>
            <w:vAlign w:val="center"/>
          </w:tcPr>
          <w:p w14:paraId="2DC83FDB">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2.25</w:t>
            </w:r>
          </w:p>
        </w:tc>
      </w:tr>
      <w:tr w14:paraId="2AB9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D7D7D7" w:themeFill="background1" w:themeFillShade="D8"/>
            <w:vAlign w:val="center"/>
          </w:tcPr>
          <w:p w14:paraId="09FA07D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11</w:t>
            </w:r>
          </w:p>
        </w:tc>
        <w:tc>
          <w:tcPr>
            <w:tcW w:w="1904" w:type="dxa"/>
            <w:shd w:val="clear" w:color="auto" w:fill="D7D7D7" w:themeFill="background1" w:themeFillShade="D8"/>
            <w:vAlign w:val="center"/>
          </w:tcPr>
          <w:p w14:paraId="25D8F44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2.75</w:t>
            </w:r>
          </w:p>
        </w:tc>
        <w:tc>
          <w:tcPr>
            <w:tcW w:w="1904" w:type="dxa"/>
            <w:shd w:val="clear" w:color="auto" w:fill="D7D7D7" w:themeFill="background1" w:themeFillShade="D8"/>
            <w:vAlign w:val="center"/>
          </w:tcPr>
          <w:p w14:paraId="658F044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0</w:t>
            </w:r>
          </w:p>
        </w:tc>
        <w:tc>
          <w:tcPr>
            <w:tcW w:w="1904" w:type="dxa"/>
            <w:shd w:val="clear" w:color="auto" w:fill="D7D7D7" w:themeFill="background1" w:themeFillShade="D8"/>
            <w:vAlign w:val="center"/>
          </w:tcPr>
          <w:p w14:paraId="1127DB2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2.25以下</w:t>
            </w:r>
          </w:p>
        </w:tc>
      </w:tr>
      <w:tr w14:paraId="7402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4" w:type="dxa"/>
            <w:shd w:val="clear" w:color="auto" w:fill="auto"/>
            <w:vAlign w:val="center"/>
          </w:tcPr>
          <w:p w14:paraId="183BD39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10</w:t>
            </w:r>
          </w:p>
        </w:tc>
        <w:tc>
          <w:tcPr>
            <w:tcW w:w="1904" w:type="dxa"/>
            <w:shd w:val="clear" w:color="auto" w:fill="auto"/>
            <w:vAlign w:val="center"/>
          </w:tcPr>
          <w:p w14:paraId="686A4BE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2.7</w:t>
            </w:r>
          </w:p>
        </w:tc>
        <w:tc>
          <w:tcPr>
            <w:tcW w:w="1904" w:type="dxa"/>
            <w:shd w:val="clear" w:color="auto" w:fill="auto"/>
            <w:vAlign w:val="center"/>
          </w:tcPr>
          <w:p w14:paraId="2F54612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p>
        </w:tc>
        <w:tc>
          <w:tcPr>
            <w:tcW w:w="1904" w:type="dxa"/>
            <w:shd w:val="clear" w:color="auto" w:fill="auto"/>
            <w:vAlign w:val="center"/>
          </w:tcPr>
          <w:p w14:paraId="1CF9A11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sz w:val="24"/>
                <w:szCs w:val="24"/>
                <w:vertAlign w:val="baseline"/>
                <w:lang w:val="en-US" w:eastAsia="zh-CN"/>
              </w:rPr>
            </w:pPr>
          </w:p>
        </w:tc>
      </w:tr>
    </w:tbl>
    <w:p w14:paraId="28495EE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（二）专项技术</w:t>
      </w:r>
    </w:p>
    <w:p w14:paraId="567D5AF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1.投篮</w:t>
      </w:r>
    </w:p>
    <w:p w14:paraId="696F69B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1）考试方法:如图1所示，在以篮圈中心投影点为圆心、4.5米为半径所划的弧线外设置5个投篮点(球场两侧0°角处、两侧45°处和正面弧顶)，每个点位放置4个球，共20个球。考生须从第1投篮点或第5投篮点开始投篮，按逆时针或顺时针方向依次投完每个点位的4个球。测试时间为1分钟。要求考生必须在弧线外投篮，球出手前双脚不得踩线，若踩线投中计为无效投篮，不得分。每人测试2次，取最好成绩。</w:t>
      </w:r>
    </w:p>
    <w:p w14:paraId="0DE640A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（2）评分标准:5个投篮点，每个点4个球。4个球每投中1球，得1分，满分20分。</w:t>
      </w:r>
    </w:p>
    <w:p w14:paraId="78E413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r>
        <w:rPr>
          <w:rFonts w:hint="eastAsia" w:ascii="方正仿宋_GB2312" w:hAnsi="方正仿宋_GB2312" w:eastAsia="方正仿宋_GB2312" w:cs="方正仿宋_GB2312"/>
          <w:b w:val="0"/>
          <w:bCs w:val="0"/>
          <w:color w:val="FF0000"/>
          <w:sz w:val="24"/>
          <w:szCs w:val="24"/>
          <w:lang w:val="en-US" w:eastAsia="zh-CN"/>
        </w:rPr>
        <w:drawing>
          <wp:anchor distT="0" distB="0" distL="114300" distR="114300" simplePos="0" relativeHeight="251660288" behindDoc="0" locked="0" layoutInCell="1" allowOverlap="1">
            <wp:simplePos x="0" y="0"/>
            <wp:positionH relativeFrom="column">
              <wp:posOffset>822960</wp:posOffset>
            </wp:positionH>
            <wp:positionV relativeFrom="paragraph">
              <wp:posOffset>258445</wp:posOffset>
            </wp:positionV>
            <wp:extent cx="3810000" cy="2228850"/>
            <wp:effectExtent l="0" t="0" r="0" b="0"/>
            <wp:wrapNone/>
            <wp:docPr id="3" name="图片 3" descr="5e39bc525e09ffc6d858637bd8ce7e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e39bc525e09ffc6d858637bd8ce7e49"/>
                    <pic:cNvPicPr>
                      <a:picLocks noChangeAspect="1"/>
                    </pic:cNvPicPr>
                  </pic:nvPicPr>
                  <pic:blipFill>
                    <a:blip r:embed="rId5"/>
                    <a:stretch>
                      <a:fillRect/>
                    </a:stretch>
                  </pic:blipFill>
                  <pic:spPr>
                    <a:xfrm>
                      <a:off x="0" y="0"/>
                      <a:ext cx="3810000" cy="2228850"/>
                    </a:xfrm>
                    <a:prstGeom prst="rect">
                      <a:avLst/>
                    </a:prstGeom>
                  </pic:spPr>
                </pic:pic>
              </a:graphicData>
            </a:graphic>
          </wp:anchor>
        </w:drawing>
      </w:r>
    </w:p>
    <w:p w14:paraId="281D482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p>
    <w:p w14:paraId="698B7D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p>
    <w:p w14:paraId="779AE9C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p>
    <w:p w14:paraId="4B84DCD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default" w:ascii="方正仿宋_GB2312" w:hAnsi="方正仿宋_GB2312" w:eastAsia="方正仿宋_GB2312" w:cs="方正仿宋_GB2312"/>
          <w:b w:val="0"/>
          <w:bCs w:val="0"/>
          <w:color w:val="FF0000"/>
          <w:sz w:val="24"/>
          <w:szCs w:val="24"/>
          <w:lang w:val="en-US" w:eastAsia="zh-CN"/>
        </w:rPr>
      </w:pPr>
      <w:r>
        <w:rPr>
          <w:rFonts w:hint="eastAsia" w:ascii="方正仿宋_GB2312" w:hAnsi="方正仿宋_GB2312" w:eastAsia="方正仿宋_GB2312" w:cs="方正仿宋_GB2312"/>
          <w:b w:val="0"/>
          <w:bCs w:val="0"/>
          <w:color w:val="FF0000"/>
          <w:sz w:val="24"/>
          <w:szCs w:val="24"/>
          <w:lang w:val="en-US" w:eastAsia="zh-CN"/>
        </w:rPr>
        <w:t xml:space="preserve">   </w:t>
      </w:r>
    </w:p>
    <w:p w14:paraId="7648806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p>
    <w:p w14:paraId="41090D0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p>
    <w:p w14:paraId="3A1642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方正仿宋_GB2312" w:hAnsi="方正仿宋_GB2312" w:eastAsia="方正仿宋_GB2312" w:cs="方正仿宋_GB2312"/>
          <w:b w:val="0"/>
          <w:bCs w:val="0"/>
          <w:color w:val="FF0000"/>
          <w:sz w:val="24"/>
          <w:szCs w:val="24"/>
          <w:lang w:val="en-US" w:eastAsia="zh-CN"/>
        </w:rPr>
      </w:pPr>
    </w:p>
    <w:p w14:paraId="143521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center"/>
        <w:textAlignment w:val="auto"/>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图1 投篮场地示意图</w:t>
      </w:r>
    </w:p>
    <w:p w14:paraId="0D4D91B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2.多种变向运球上篮</w:t>
      </w:r>
    </w:p>
    <w:p w14:paraId="0DF4F24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1）考试方法:如图2所示，考生在球场端线中点外出发区持球站立，当其身体任意部位穿过端线外沿的垂直面时开始计时。考生用右手运球至1处，在1处做右手背后运球，换左手向2处运球，至2处做左手后转身运球，换右手运球至3处，在3处做右手胯下运球后右手上篮。球中篮后方可用左手运球返回3处，在3处做左手背后运球，换右手向2处运球，在2处做右手后转身运球，换左手向1处运球，在1处做左手胯下运球后左手上篮。球中后做同样的动作再重复一次，最后一次上篮命中后，持球冲出端线，考生身体任意部位穿过端线外沿垂直面时停止计时，记录完成的时间。每人测试2次，取最好成绩。</w:t>
      </w:r>
    </w:p>
    <w:p w14:paraId="2F33DD3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篮球场地上的标志1、2、3为以40厘米为半径的圆圈。1、3圆圈中心点到端线内沿的距离为6米，到边线内沿的距离为2米。2在中线上，到中圈中心点的距离为2.8米。考生在考试时必须任意一脚踩到圆圈线或圆圈内地面，方可运球变向，否则视为无效，不予计分;运球上篮时必须投中，若球未投中仍继续带球前进，则视为无效，不予计分。考生在运球行进的过程中不得违例，每次违例计时追加1秒;必须使用规定的手上篮，错1次，计时追加1秒;胯下变向运球时，必须从体前由内侧向外侧变向运球换手，且双脚不能离开地面，错1次计时追加1秒。</w:t>
      </w:r>
    </w:p>
    <w:p w14:paraId="1FAC1F4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评分标准:见表2。</w:t>
      </w:r>
    </w:p>
    <w:p w14:paraId="2CE55D1B">
      <w:pPr>
        <w:widowControl w:val="0"/>
        <w:numPr>
          <w:ilvl w:val="0"/>
          <w:numId w:val="0"/>
        </w:numPr>
        <w:jc w:val="both"/>
        <w:rPr>
          <w:rFonts w:hint="eastAsia" w:ascii="方正仿宋_GB2312" w:hAnsi="方正仿宋_GB2312" w:eastAsia="方正仿宋_GB2312" w:cs="方正仿宋_GB2312"/>
          <w:b w:val="0"/>
          <w:bCs w:val="0"/>
          <w:sz w:val="24"/>
          <w:szCs w:val="24"/>
          <w:lang w:val="en-US" w:eastAsia="zh-CN"/>
        </w:rPr>
      </w:pPr>
      <w:r>
        <w:rPr>
          <w:rFonts w:hint="eastAsia" w:ascii="方正仿宋_GB2312" w:hAnsi="方正仿宋_GB2312" w:eastAsia="方正仿宋_GB2312" w:cs="方正仿宋_GB2312"/>
          <w:b w:val="0"/>
          <w:bCs w:val="0"/>
          <w:sz w:val="24"/>
          <w:szCs w:val="24"/>
          <w:lang w:val="en-US" w:eastAsia="zh-CN"/>
        </w:rPr>
        <w:drawing>
          <wp:inline distT="0" distB="0" distL="114300" distR="114300">
            <wp:extent cx="5273675" cy="1978025"/>
            <wp:effectExtent l="0" t="0" r="3175" b="3175"/>
            <wp:docPr id="4" name="图片 4" descr="37cbd798bce2056f88ef9879f038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7cbd798bce2056f88ef9879f0385093"/>
                    <pic:cNvPicPr>
                      <a:picLocks noChangeAspect="1"/>
                    </pic:cNvPicPr>
                  </pic:nvPicPr>
                  <pic:blipFill>
                    <a:blip r:embed="rId6"/>
                    <a:stretch>
                      <a:fillRect/>
                    </a:stretch>
                  </pic:blipFill>
                  <pic:spPr>
                    <a:xfrm>
                      <a:off x="0" y="0"/>
                      <a:ext cx="5273675" cy="1978025"/>
                    </a:xfrm>
                    <a:prstGeom prst="rect">
                      <a:avLst/>
                    </a:prstGeom>
                  </pic:spPr>
                </pic:pic>
              </a:graphicData>
            </a:graphic>
          </wp:inline>
        </w:drawing>
      </w:r>
    </w:p>
    <w:p w14:paraId="2C5DC10F">
      <w:pPr>
        <w:widowControl w:val="0"/>
        <w:numPr>
          <w:ilvl w:val="0"/>
          <w:numId w:val="0"/>
        </w:numPr>
        <w:jc w:val="center"/>
        <w:rPr>
          <w:rFonts w:hint="eastAsia"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图2 多种变向运球上篮示意图</w:t>
      </w:r>
    </w:p>
    <w:p w14:paraId="2DC01BB6">
      <w:pPr>
        <w:widowControl w:val="0"/>
        <w:numPr>
          <w:ilvl w:val="0"/>
          <w:numId w:val="0"/>
        </w:numPr>
        <w:jc w:val="center"/>
        <w:rPr>
          <w:rFonts w:hint="eastAsia"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表2 多种变向运球上篮评分表（成绩取小数点后一位）</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6"/>
        <w:gridCol w:w="1986"/>
        <w:gridCol w:w="1986"/>
        <w:gridCol w:w="1988"/>
      </w:tblGrid>
      <w:tr w14:paraId="53D5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vMerge w:val="restart"/>
            <w:shd w:val="clear" w:color="auto" w:fill="595959" w:themeFill="text1" w:themeFillTint="A5"/>
            <w:vAlign w:val="center"/>
          </w:tcPr>
          <w:p w14:paraId="364FC6B6">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分值</w:t>
            </w:r>
          </w:p>
        </w:tc>
        <w:tc>
          <w:tcPr>
            <w:tcW w:w="1986" w:type="dxa"/>
            <w:shd w:val="clear" w:color="auto" w:fill="595959" w:themeFill="text1" w:themeFillTint="A5"/>
            <w:vAlign w:val="center"/>
          </w:tcPr>
          <w:p w14:paraId="6C0896B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成绩（秒）</w:t>
            </w:r>
          </w:p>
        </w:tc>
        <w:tc>
          <w:tcPr>
            <w:tcW w:w="1986" w:type="dxa"/>
            <w:vMerge w:val="restart"/>
            <w:shd w:val="clear" w:color="auto" w:fill="595959" w:themeFill="text1" w:themeFillTint="A5"/>
            <w:vAlign w:val="center"/>
          </w:tcPr>
          <w:p w14:paraId="76F9EA8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仿宋_GB2312" w:hAnsi="方正仿宋_GB2312" w:eastAsia="方正仿宋_GB2312" w:cs="方正仿宋_GB2312"/>
                <w:b/>
                <w:bCs/>
                <w:color w:val="FFFFFF" w:themeColor="background1"/>
                <w:kern w:val="2"/>
                <w:sz w:val="24"/>
                <w:szCs w:val="24"/>
                <w:vertAlign w:val="baseline"/>
                <w:lang w:val="en-US" w:eastAsia="zh-CN" w:bidi="ar-SA"/>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分值</w:t>
            </w:r>
          </w:p>
        </w:tc>
        <w:tc>
          <w:tcPr>
            <w:tcW w:w="1988" w:type="dxa"/>
            <w:shd w:val="clear" w:color="auto" w:fill="595959" w:themeFill="text1" w:themeFillTint="A5"/>
            <w:vAlign w:val="center"/>
          </w:tcPr>
          <w:p w14:paraId="7927725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仿宋_GB2312" w:hAnsi="方正仿宋_GB2312" w:eastAsia="方正仿宋_GB2312" w:cs="方正仿宋_GB2312"/>
                <w:b/>
                <w:bCs/>
                <w:color w:val="FFFFFF" w:themeColor="background1"/>
                <w:kern w:val="2"/>
                <w:sz w:val="24"/>
                <w:szCs w:val="24"/>
                <w:vertAlign w:val="baseline"/>
                <w:lang w:val="en-US" w:eastAsia="zh-CN" w:bidi="ar-SA"/>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成绩（秒）</w:t>
            </w:r>
          </w:p>
        </w:tc>
      </w:tr>
      <w:tr w14:paraId="419E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vMerge w:val="continue"/>
            <w:shd w:val="clear" w:color="auto" w:fill="595959" w:themeFill="text1" w:themeFillTint="A5"/>
            <w:vAlign w:val="center"/>
          </w:tcPr>
          <w:p w14:paraId="5AC274E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p>
        </w:tc>
        <w:tc>
          <w:tcPr>
            <w:tcW w:w="1986" w:type="dxa"/>
            <w:shd w:val="clear" w:color="auto" w:fill="595959" w:themeFill="text1" w:themeFillTint="A5"/>
            <w:vAlign w:val="center"/>
          </w:tcPr>
          <w:p w14:paraId="19FA487E">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男</w:t>
            </w:r>
          </w:p>
        </w:tc>
        <w:tc>
          <w:tcPr>
            <w:tcW w:w="1986" w:type="dxa"/>
            <w:vMerge w:val="continue"/>
            <w:shd w:val="clear" w:color="auto" w:fill="595959" w:themeFill="text1" w:themeFillTint="A5"/>
            <w:vAlign w:val="center"/>
          </w:tcPr>
          <w:p w14:paraId="1D7E7DB9">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p>
        </w:tc>
        <w:tc>
          <w:tcPr>
            <w:tcW w:w="1988" w:type="dxa"/>
            <w:shd w:val="clear" w:color="auto" w:fill="595959" w:themeFill="text1" w:themeFillTint="A5"/>
            <w:vAlign w:val="center"/>
          </w:tcPr>
          <w:p w14:paraId="6FA8838E">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男</w:t>
            </w:r>
          </w:p>
        </w:tc>
      </w:tr>
      <w:tr w14:paraId="3D99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00240E9E">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30</w:t>
            </w:r>
          </w:p>
        </w:tc>
        <w:tc>
          <w:tcPr>
            <w:tcW w:w="1986" w:type="dxa"/>
            <w:shd w:val="clear" w:color="auto" w:fill="auto"/>
            <w:vAlign w:val="center"/>
          </w:tcPr>
          <w:p w14:paraId="11ADC0A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42</w:t>
            </w:r>
          </w:p>
        </w:tc>
        <w:tc>
          <w:tcPr>
            <w:tcW w:w="1986" w:type="dxa"/>
            <w:shd w:val="clear" w:color="auto" w:fill="auto"/>
            <w:vAlign w:val="center"/>
          </w:tcPr>
          <w:p w14:paraId="2C479503">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14</w:t>
            </w:r>
          </w:p>
        </w:tc>
        <w:tc>
          <w:tcPr>
            <w:tcW w:w="1988" w:type="dxa"/>
            <w:shd w:val="clear" w:color="auto" w:fill="auto"/>
            <w:vAlign w:val="center"/>
          </w:tcPr>
          <w:p w14:paraId="5375E0E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50</w:t>
            </w:r>
          </w:p>
        </w:tc>
      </w:tr>
      <w:tr w14:paraId="528E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204384A4">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 xml:space="preserve">29 </w:t>
            </w:r>
          </w:p>
        </w:tc>
        <w:tc>
          <w:tcPr>
            <w:tcW w:w="1986" w:type="dxa"/>
            <w:shd w:val="clear" w:color="auto" w:fill="D7D7D7" w:themeFill="background1" w:themeFillShade="D8"/>
            <w:vAlign w:val="center"/>
          </w:tcPr>
          <w:p w14:paraId="225762C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42..5</w:t>
            </w:r>
          </w:p>
        </w:tc>
        <w:tc>
          <w:tcPr>
            <w:tcW w:w="1986" w:type="dxa"/>
            <w:shd w:val="clear" w:color="auto" w:fill="D7D7D7" w:themeFill="background1" w:themeFillShade="D8"/>
            <w:vAlign w:val="center"/>
          </w:tcPr>
          <w:p w14:paraId="2E6E6FF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13</w:t>
            </w:r>
          </w:p>
        </w:tc>
        <w:tc>
          <w:tcPr>
            <w:tcW w:w="1988" w:type="dxa"/>
            <w:shd w:val="clear" w:color="auto" w:fill="D7D7D7" w:themeFill="background1" w:themeFillShade="D8"/>
            <w:vAlign w:val="center"/>
          </w:tcPr>
          <w:p w14:paraId="607A7B6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50.5</w:t>
            </w:r>
          </w:p>
        </w:tc>
      </w:tr>
      <w:tr w14:paraId="04CF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40235F5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28</w:t>
            </w:r>
          </w:p>
        </w:tc>
        <w:tc>
          <w:tcPr>
            <w:tcW w:w="1986" w:type="dxa"/>
            <w:shd w:val="clear" w:color="auto" w:fill="auto"/>
            <w:vAlign w:val="center"/>
          </w:tcPr>
          <w:p w14:paraId="69FD5A26">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43</w:t>
            </w:r>
          </w:p>
        </w:tc>
        <w:tc>
          <w:tcPr>
            <w:tcW w:w="1986" w:type="dxa"/>
            <w:shd w:val="clear" w:color="auto" w:fill="auto"/>
            <w:vAlign w:val="center"/>
          </w:tcPr>
          <w:p w14:paraId="4579935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12</w:t>
            </w:r>
          </w:p>
        </w:tc>
        <w:tc>
          <w:tcPr>
            <w:tcW w:w="1988" w:type="dxa"/>
            <w:shd w:val="clear" w:color="auto" w:fill="auto"/>
            <w:vAlign w:val="center"/>
          </w:tcPr>
          <w:p w14:paraId="7707D49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51</w:t>
            </w:r>
          </w:p>
        </w:tc>
      </w:tr>
      <w:tr w14:paraId="1245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52CBF81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27</w:t>
            </w:r>
          </w:p>
        </w:tc>
        <w:tc>
          <w:tcPr>
            <w:tcW w:w="1986" w:type="dxa"/>
            <w:shd w:val="clear" w:color="auto" w:fill="D7D7D7" w:themeFill="background1" w:themeFillShade="D8"/>
            <w:vAlign w:val="center"/>
          </w:tcPr>
          <w:p w14:paraId="2DDE228E">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43.5</w:t>
            </w:r>
          </w:p>
        </w:tc>
        <w:tc>
          <w:tcPr>
            <w:tcW w:w="1986" w:type="dxa"/>
            <w:shd w:val="clear" w:color="auto" w:fill="D7D7D7" w:themeFill="background1" w:themeFillShade="D8"/>
            <w:vAlign w:val="center"/>
          </w:tcPr>
          <w:p w14:paraId="1339632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11</w:t>
            </w:r>
          </w:p>
        </w:tc>
        <w:tc>
          <w:tcPr>
            <w:tcW w:w="1988" w:type="dxa"/>
            <w:shd w:val="clear" w:color="auto" w:fill="D7D7D7" w:themeFill="background1" w:themeFillShade="D8"/>
            <w:vAlign w:val="center"/>
          </w:tcPr>
          <w:p w14:paraId="558E5CB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51.5</w:t>
            </w:r>
          </w:p>
        </w:tc>
      </w:tr>
      <w:tr w14:paraId="3673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35EF7628">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26</w:t>
            </w:r>
          </w:p>
        </w:tc>
        <w:tc>
          <w:tcPr>
            <w:tcW w:w="1986" w:type="dxa"/>
            <w:shd w:val="clear" w:color="auto" w:fill="auto"/>
            <w:vAlign w:val="center"/>
          </w:tcPr>
          <w:p w14:paraId="58F9DB46">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44</w:t>
            </w:r>
          </w:p>
        </w:tc>
        <w:tc>
          <w:tcPr>
            <w:tcW w:w="1986" w:type="dxa"/>
            <w:shd w:val="clear" w:color="auto" w:fill="auto"/>
            <w:vAlign w:val="center"/>
          </w:tcPr>
          <w:p w14:paraId="5C2749A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10</w:t>
            </w:r>
          </w:p>
        </w:tc>
        <w:tc>
          <w:tcPr>
            <w:tcW w:w="1988" w:type="dxa"/>
            <w:shd w:val="clear" w:color="auto" w:fill="auto"/>
            <w:vAlign w:val="center"/>
          </w:tcPr>
          <w:p w14:paraId="7EAB5ED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52</w:t>
            </w:r>
          </w:p>
        </w:tc>
      </w:tr>
      <w:tr w14:paraId="26CA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3DA2BE4D">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25</w:t>
            </w:r>
          </w:p>
        </w:tc>
        <w:tc>
          <w:tcPr>
            <w:tcW w:w="1986" w:type="dxa"/>
            <w:shd w:val="clear" w:color="auto" w:fill="D7D7D7" w:themeFill="background1" w:themeFillShade="D8"/>
            <w:vAlign w:val="center"/>
          </w:tcPr>
          <w:p w14:paraId="29C4227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44.5</w:t>
            </w:r>
          </w:p>
        </w:tc>
        <w:tc>
          <w:tcPr>
            <w:tcW w:w="1986" w:type="dxa"/>
            <w:shd w:val="clear" w:color="auto" w:fill="D7D7D7" w:themeFill="background1" w:themeFillShade="D8"/>
            <w:vAlign w:val="center"/>
          </w:tcPr>
          <w:p w14:paraId="674FF01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9</w:t>
            </w:r>
          </w:p>
        </w:tc>
        <w:tc>
          <w:tcPr>
            <w:tcW w:w="1988" w:type="dxa"/>
            <w:shd w:val="clear" w:color="auto" w:fill="D7D7D7" w:themeFill="background1" w:themeFillShade="D8"/>
            <w:vAlign w:val="center"/>
          </w:tcPr>
          <w:p w14:paraId="0313EA2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52.5</w:t>
            </w:r>
          </w:p>
        </w:tc>
      </w:tr>
      <w:tr w14:paraId="2BBD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17CFDB3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 xml:space="preserve">24 </w:t>
            </w:r>
          </w:p>
        </w:tc>
        <w:tc>
          <w:tcPr>
            <w:tcW w:w="1986" w:type="dxa"/>
            <w:shd w:val="clear" w:color="auto" w:fill="auto"/>
            <w:vAlign w:val="center"/>
          </w:tcPr>
          <w:p w14:paraId="64287224">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45</w:t>
            </w:r>
          </w:p>
        </w:tc>
        <w:tc>
          <w:tcPr>
            <w:tcW w:w="1986" w:type="dxa"/>
            <w:shd w:val="clear" w:color="auto" w:fill="auto"/>
            <w:vAlign w:val="center"/>
          </w:tcPr>
          <w:p w14:paraId="12C6223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8</w:t>
            </w:r>
          </w:p>
        </w:tc>
        <w:tc>
          <w:tcPr>
            <w:tcW w:w="1988" w:type="dxa"/>
            <w:shd w:val="clear" w:color="auto" w:fill="auto"/>
            <w:vAlign w:val="center"/>
          </w:tcPr>
          <w:p w14:paraId="24D2EB0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53</w:t>
            </w:r>
          </w:p>
        </w:tc>
      </w:tr>
      <w:tr w14:paraId="4095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320A878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23</w:t>
            </w:r>
          </w:p>
        </w:tc>
        <w:tc>
          <w:tcPr>
            <w:tcW w:w="1986" w:type="dxa"/>
            <w:shd w:val="clear" w:color="auto" w:fill="D7D7D7" w:themeFill="background1" w:themeFillShade="D8"/>
            <w:vAlign w:val="center"/>
          </w:tcPr>
          <w:p w14:paraId="7277B6B8">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45.5</w:t>
            </w:r>
          </w:p>
        </w:tc>
        <w:tc>
          <w:tcPr>
            <w:tcW w:w="1986" w:type="dxa"/>
            <w:shd w:val="clear" w:color="auto" w:fill="D7D7D7" w:themeFill="background1" w:themeFillShade="D8"/>
            <w:vAlign w:val="center"/>
          </w:tcPr>
          <w:p w14:paraId="0B41002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7</w:t>
            </w:r>
          </w:p>
        </w:tc>
        <w:tc>
          <w:tcPr>
            <w:tcW w:w="1988" w:type="dxa"/>
            <w:shd w:val="clear" w:color="auto" w:fill="D7D7D7" w:themeFill="background1" w:themeFillShade="D8"/>
            <w:vAlign w:val="center"/>
          </w:tcPr>
          <w:p w14:paraId="4DB4B18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53.5</w:t>
            </w:r>
          </w:p>
        </w:tc>
      </w:tr>
      <w:tr w14:paraId="22EB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5303B9D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22</w:t>
            </w:r>
          </w:p>
        </w:tc>
        <w:tc>
          <w:tcPr>
            <w:tcW w:w="1986" w:type="dxa"/>
            <w:shd w:val="clear" w:color="auto" w:fill="auto"/>
            <w:vAlign w:val="center"/>
          </w:tcPr>
          <w:p w14:paraId="68E1042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46</w:t>
            </w:r>
          </w:p>
        </w:tc>
        <w:tc>
          <w:tcPr>
            <w:tcW w:w="1986" w:type="dxa"/>
            <w:shd w:val="clear" w:color="auto" w:fill="auto"/>
            <w:vAlign w:val="center"/>
          </w:tcPr>
          <w:p w14:paraId="0B1B4EA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6</w:t>
            </w:r>
          </w:p>
        </w:tc>
        <w:tc>
          <w:tcPr>
            <w:tcW w:w="1988" w:type="dxa"/>
            <w:shd w:val="clear" w:color="auto" w:fill="auto"/>
            <w:vAlign w:val="center"/>
          </w:tcPr>
          <w:p w14:paraId="33D25E2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54</w:t>
            </w:r>
          </w:p>
        </w:tc>
      </w:tr>
      <w:tr w14:paraId="2F2B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5E523B2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 xml:space="preserve">21 </w:t>
            </w:r>
          </w:p>
        </w:tc>
        <w:tc>
          <w:tcPr>
            <w:tcW w:w="1986" w:type="dxa"/>
            <w:shd w:val="clear" w:color="auto" w:fill="D7D7D7" w:themeFill="background1" w:themeFillShade="D8"/>
            <w:vAlign w:val="center"/>
          </w:tcPr>
          <w:p w14:paraId="64F6047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46.5</w:t>
            </w:r>
          </w:p>
        </w:tc>
        <w:tc>
          <w:tcPr>
            <w:tcW w:w="1986" w:type="dxa"/>
            <w:shd w:val="clear" w:color="auto" w:fill="D7D7D7" w:themeFill="background1" w:themeFillShade="D8"/>
            <w:vAlign w:val="center"/>
          </w:tcPr>
          <w:p w14:paraId="0A24668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w:t>
            </w:r>
          </w:p>
        </w:tc>
        <w:tc>
          <w:tcPr>
            <w:tcW w:w="1988" w:type="dxa"/>
            <w:shd w:val="clear" w:color="auto" w:fill="D7D7D7" w:themeFill="background1" w:themeFillShade="D8"/>
            <w:vAlign w:val="center"/>
          </w:tcPr>
          <w:p w14:paraId="36E452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54.5</w:t>
            </w:r>
          </w:p>
        </w:tc>
      </w:tr>
      <w:tr w14:paraId="1273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7713211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 xml:space="preserve">20 </w:t>
            </w:r>
          </w:p>
        </w:tc>
        <w:tc>
          <w:tcPr>
            <w:tcW w:w="1986" w:type="dxa"/>
            <w:shd w:val="clear" w:color="auto" w:fill="auto"/>
            <w:vAlign w:val="center"/>
          </w:tcPr>
          <w:p w14:paraId="01A56F9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47</w:t>
            </w:r>
          </w:p>
        </w:tc>
        <w:tc>
          <w:tcPr>
            <w:tcW w:w="1986" w:type="dxa"/>
            <w:shd w:val="clear" w:color="auto" w:fill="auto"/>
            <w:vAlign w:val="center"/>
          </w:tcPr>
          <w:p w14:paraId="7E2FD2C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4</w:t>
            </w:r>
          </w:p>
        </w:tc>
        <w:tc>
          <w:tcPr>
            <w:tcW w:w="1988" w:type="dxa"/>
            <w:shd w:val="clear" w:color="auto" w:fill="auto"/>
            <w:vAlign w:val="center"/>
          </w:tcPr>
          <w:p w14:paraId="3CEFA2C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55</w:t>
            </w:r>
          </w:p>
        </w:tc>
      </w:tr>
      <w:tr w14:paraId="4FF6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6096A06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19</w:t>
            </w:r>
          </w:p>
        </w:tc>
        <w:tc>
          <w:tcPr>
            <w:tcW w:w="1986" w:type="dxa"/>
            <w:shd w:val="clear" w:color="auto" w:fill="D7D7D7" w:themeFill="background1" w:themeFillShade="D8"/>
            <w:vAlign w:val="center"/>
          </w:tcPr>
          <w:p w14:paraId="042075F8">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47.5</w:t>
            </w:r>
          </w:p>
        </w:tc>
        <w:tc>
          <w:tcPr>
            <w:tcW w:w="1986" w:type="dxa"/>
            <w:shd w:val="clear" w:color="auto" w:fill="D7D7D7" w:themeFill="background1" w:themeFillShade="D8"/>
            <w:vAlign w:val="center"/>
          </w:tcPr>
          <w:p w14:paraId="41F07F4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3</w:t>
            </w:r>
          </w:p>
        </w:tc>
        <w:tc>
          <w:tcPr>
            <w:tcW w:w="1988" w:type="dxa"/>
            <w:shd w:val="clear" w:color="auto" w:fill="D7D7D7" w:themeFill="background1" w:themeFillShade="D8"/>
            <w:vAlign w:val="center"/>
          </w:tcPr>
          <w:p w14:paraId="58C0B5D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55.5</w:t>
            </w:r>
          </w:p>
        </w:tc>
      </w:tr>
      <w:tr w14:paraId="3A5A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5C77F11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 xml:space="preserve">18 </w:t>
            </w:r>
          </w:p>
        </w:tc>
        <w:tc>
          <w:tcPr>
            <w:tcW w:w="1986" w:type="dxa"/>
            <w:shd w:val="clear" w:color="auto" w:fill="auto"/>
            <w:vAlign w:val="center"/>
          </w:tcPr>
          <w:p w14:paraId="7C519CE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48</w:t>
            </w:r>
          </w:p>
        </w:tc>
        <w:tc>
          <w:tcPr>
            <w:tcW w:w="1986" w:type="dxa"/>
            <w:shd w:val="clear" w:color="auto" w:fill="auto"/>
            <w:vAlign w:val="center"/>
          </w:tcPr>
          <w:p w14:paraId="33FF102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2</w:t>
            </w:r>
          </w:p>
        </w:tc>
        <w:tc>
          <w:tcPr>
            <w:tcW w:w="1988" w:type="dxa"/>
            <w:shd w:val="clear" w:color="auto" w:fill="auto"/>
            <w:vAlign w:val="center"/>
          </w:tcPr>
          <w:p w14:paraId="58F3C97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56</w:t>
            </w:r>
          </w:p>
        </w:tc>
      </w:tr>
      <w:tr w14:paraId="0AD0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3525178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17</w:t>
            </w:r>
          </w:p>
        </w:tc>
        <w:tc>
          <w:tcPr>
            <w:tcW w:w="1986" w:type="dxa"/>
            <w:shd w:val="clear" w:color="auto" w:fill="D7D7D7" w:themeFill="background1" w:themeFillShade="D8"/>
            <w:vAlign w:val="center"/>
          </w:tcPr>
          <w:p w14:paraId="7DCF4133">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48.5</w:t>
            </w:r>
          </w:p>
        </w:tc>
        <w:tc>
          <w:tcPr>
            <w:tcW w:w="1986" w:type="dxa"/>
            <w:shd w:val="clear" w:color="auto" w:fill="D7D7D7" w:themeFill="background1" w:themeFillShade="D8"/>
            <w:vAlign w:val="center"/>
          </w:tcPr>
          <w:p w14:paraId="04141E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1</w:t>
            </w:r>
          </w:p>
        </w:tc>
        <w:tc>
          <w:tcPr>
            <w:tcW w:w="1988" w:type="dxa"/>
            <w:shd w:val="clear" w:color="auto" w:fill="D7D7D7" w:themeFill="background1" w:themeFillShade="D8"/>
            <w:vAlign w:val="center"/>
          </w:tcPr>
          <w:p w14:paraId="2A2AD53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56.5</w:t>
            </w:r>
          </w:p>
        </w:tc>
      </w:tr>
      <w:tr w14:paraId="755A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auto"/>
            <w:vAlign w:val="center"/>
          </w:tcPr>
          <w:p w14:paraId="5A4F8D7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16</w:t>
            </w:r>
          </w:p>
        </w:tc>
        <w:tc>
          <w:tcPr>
            <w:tcW w:w="1986" w:type="dxa"/>
            <w:shd w:val="clear" w:color="auto" w:fill="auto"/>
            <w:vAlign w:val="center"/>
          </w:tcPr>
          <w:p w14:paraId="4709F40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49</w:t>
            </w:r>
          </w:p>
        </w:tc>
        <w:tc>
          <w:tcPr>
            <w:tcW w:w="1986" w:type="dxa"/>
            <w:shd w:val="clear" w:color="auto" w:fill="auto"/>
            <w:vAlign w:val="center"/>
          </w:tcPr>
          <w:p w14:paraId="6FAEA75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0</w:t>
            </w:r>
          </w:p>
        </w:tc>
        <w:tc>
          <w:tcPr>
            <w:tcW w:w="1988" w:type="dxa"/>
            <w:shd w:val="clear" w:color="auto" w:fill="auto"/>
            <w:vAlign w:val="center"/>
          </w:tcPr>
          <w:p w14:paraId="6C6CA81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jc w:val="center"/>
              <w:textAlignment w:val="auto"/>
              <w:rPr>
                <w:rFonts w:hint="default" w:ascii="方正仿宋_GB2312" w:hAnsi="方正仿宋_GB2312" w:eastAsia="方正仿宋_GB2312" w:cs="方正仿宋_GB2312"/>
                <w:b w:val="0"/>
                <w:bCs w:val="0"/>
                <w:kern w:val="2"/>
                <w:sz w:val="24"/>
                <w:szCs w:val="24"/>
                <w:vertAlign w:val="baseline"/>
                <w:lang w:val="en-US" w:eastAsia="zh-CN" w:bidi="ar-SA"/>
              </w:rPr>
            </w:pPr>
            <w:r>
              <w:rPr>
                <w:rFonts w:hint="eastAsia" w:ascii="方正仿宋_GB2312" w:hAnsi="方正仿宋_GB2312" w:eastAsia="方正仿宋_GB2312" w:cs="方正仿宋_GB2312"/>
                <w:b w:val="0"/>
                <w:bCs w:val="0"/>
                <w:sz w:val="24"/>
                <w:szCs w:val="24"/>
                <w:vertAlign w:val="baseline"/>
                <w:lang w:val="en-US" w:eastAsia="zh-CN"/>
              </w:rPr>
              <w:t>56.5以上</w:t>
            </w:r>
          </w:p>
        </w:tc>
      </w:tr>
      <w:tr w14:paraId="454C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6" w:type="dxa"/>
            <w:shd w:val="clear" w:color="auto" w:fill="D7D7D7" w:themeFill="background1" w:themeFillShade="D8"/>
            <w:vAlign w:val="center"/>
          </w:tcPr>
          <w:p w14:paraId="7127CA4D">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15</w:t>
            </w:r>
          </w:p>
        </w:tc>
        <w:tc>
          <w:tcPr>
            <w:tcW w:w="1986" w:type="dxa"/>
            <w:shd w:val="clear" w:color="auto" w:fill="D7D7D7" w:themeFill="background1" w:themeFillShade="D8"/>
            <w:vAlign w:val="center"/>
          </w:tcPr>
          <w:p w14:paraId="2FD1081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49.5</w:t>
            </w:r>
          </w:p>
        </w:tc>
        <w:tc>
          <w:tcPr>
            <w:tcW w:w="1986" w:type="dxa"/>
            <w:shd w:val="clear" w:color="auto" w:fill="D7D7D7" w:themeFill="background1" w:themeFillShade="D8"/>
            <w:vAlign w:val="center"/>
          </w:tcPr>
          <w:p w14:paraId="22C40F98">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p>
        </w:tc>
        <w:tc>
          <w:tcPr>
            <w:tcW w:w="1988" w:type="dxa"/>
            <w:shd w:val="clear" w:color="auto" w:fill="D7D7D7" w:themeFill="background1" w:themeFillShade="D8"/>
            <w:vAlign w:val="center"/>
          </w:tcPr>
          <w:p w14:paraId="4E19FAC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p>
        </w:tc>
      </w:tr>
    </w:tbl>
    <w:p w14:paraId="2D330ECC">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（三）实战能力</w:t>
      </w:r>
    </w:p>
    <w:p w14:paraId="79B6D55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320" w:firstLineChars="1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比赛</w:t>
      </w:r>
    </w:p>
    <w:p w14:paraId="3F13650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1.考试方法:按照篮球比赛规则，视考生人数分队进行比赛，比赛时间10分钟。</w:t>
      </w:r>
    </w:p>
    <w:p w14:paraId="150A5C8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方正仿宋_GB2312" w:hAnsi="方正仿宋_GB2312" w:eastAsia="方正仿宋_GB2312" w:cs="方正仿宋_GB2312"/>
          <w:b w:val="0"/>
          <w:bCs w:val="0"/>
          <w:color w:val="auto"/>
          <w:sz w:val="32"/>
          <w:szCs w:val="32"/>
          <w:lang w:val="en-US" w:eastAsia="zh-CN"/>
        </w:rPr>
      </w:pPr>
      <w:r>
        <w:rPr>
          <w:rFonts w:hint="eastAsia" w:ascii="方正仿宋_GB2312" w:hAnsi="方正仿宋_GB2312" w:eastAsia="方正仿宋_GB2312" w:cs="方正仿宋_GB2312"/>
          <w:b w:val="0"/>
          <w:bCs w:val="0"/>
          <w:color w:val="auto"/>
          <w:sz w:val="32"/>
          <w:szCs w:val="32"/>
          <w:lang w:val="en-US" w:eastAsia="zh-CN"/>
        </w:rPr>
        <w:t>2.评分标准:考评员参照实战能力评分细则（表3），独立对考生动作的正确、协调、连贯程度，技、战术运用水平以及配合意识等方面进行综合评定。采用30分制评分，所评分数至多可到小数点后1位。</w:t>
      </w:r>
    </w:p>
    <w:p w14:paraId="60BA62F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jc w:val="center"/>
        <w:textAlignment w:val="auto"/>
        <w:rPr>
          <w:rFonts w:hint="eastAsia" w:ascii="方正仿宋_GB2312" w:hAnsi="方正仿宋_GB2312" w:eastAsia="方正仿宋_GB2312" w:cs="方正仿宋_GB2312"/>
          <w:b/>
          <w:bCs/>
          <w:sz w:val="24"/>
          <w:szCs w:val="24"/>
          <w:lang w:val="en-US" w:eastAsia="zh-CN"/>
        </w:rPr>
      </w:pPr>
      <w:r>
        <w:rPr>
          <w:rFonts w:hint="eastAsia" w:ascii="方正仿宋_GB2312" w:hAnsi="方正仿宋_GB2312" w:eastAsia="方正仿宋_GB2312" w:cs="方正仿宋_GB2312"/>
          <w:b/>
          <w:bCs/>
          <w:sz w:val="24"/>
          <w:szCs w:val="24"/>
          <w:lang w:val="en-US" w:eastAsia="zh-CN"/>
        </w:rPr>
        <w:t>表3 实战能力评分细则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6570"/>
      </w:tblGrid>
      <w:tr w14:paraId="7F46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2" w:type="dxa"/>
            <w:shd w:val="clear" w:color="auto" w:fill="595959" w:themeFill="text1" w:themeFillTint="A5"/>
            <w:vAlign w:val="center"/>
          </w:tcPr>
          <w:p w14:paraId="468648F5">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default"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等级（分值范围）</w:t>
            </w:r>
          </w:p>
        </w:tc>
        <w:tc>
          <w:tcPr>
            <w:tcW w:w="6570" w:type="dxa"/>
            <w:shd w:val="clear" w:color="auto" w:fill="595959" w:themeFill="text1" w:themeFillTint="A5"/>
            <w:vAlign w:val="center"/>
          </w:tcPr>
          <w:p w14:paraId="4FFCBB72">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default"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pPr>
            <w:r>
              <w:rPr>
                <w:rFonts w:hint="eastAsia" w:ascii="方正仿宋_GB2312" w:hAnsi="方正仿宋_GB2312" w:eastAsia="方正仿宋_GB2312" w:cs="方正仿宋_GB2312"/>
                <w:b/>
                <w:bCs/>
                <w:color w:val="FFFFFF" w:themeColor="background1"/>
                <w:sz w:val="24"/>
                <w:szCs w:val="24"/>
                <w:vertAlign w:val="baseline"/>
                <w:lang w:val="en-US" w:eastAsia="zh-CN"/>
                <w14:textFill>
                  <w14:solidFill>
                    <w14:schemeClr w14:val="bg1"/>
                  </w14:solidFill>
                </w14:textFill>
              </w:rPr>
              <w:t>评价标准</w:t>
            </w:r>
          </w:p>
        </w:tc>
      </w:tr>
      <w:tr w14:paraId="0C90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vAlign w:val="center"/>
          </w:tcPr>
          <w:p w14:paraId="0D1157C4">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优（30-25）</w:t>
            </w:r>
          </w:p>
        </w:tc>
        <w:tc>
          <w:tcPr>
            <w:tcW w:w="6570" w:type="dxa"/>
            <w:vAlign w:val="center"/>
          </w:tcPr>
          <w:p w14:paraId="4714CC4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default" w:ascii="方正仿宋_GB2312" w:hAnsi="方正仿宋_GB2312" w:eastAsia="方正仿宋_GB2312" w:cs="方正仿宋_GB2312"/>
                <w:b w:val="0"/>
                <w:bCs w:val="0"/>
                <w:sz w:val="24"/>
                <w:szCs w:val="24"/>
                <w:vertAlign w:val="baseline"/>
                <w:lang w:val="en-US" w:eastAsia="zh-CN"/>
              </w:rPr>
              <w:t>进攻、防守技术动作规范、协调、连贯</w:t>
            </w:r>
            <w:r>
              <w:rPr>
                <w:rFonts w:hint="eastAsia" w:ascii="方正仿宋_GB2312" w:hAnsi="方正仿宋_GB2312" w:eastAsia="方正仿宋_GB2312" w:cs="方正仿宋_GB2312"/>
                <w:b w:val="0"/>
                <w:bCs w:val="0"/>
                <w:sz w:val="24"/>
                <w:szCs w:val="24"/>
                <w:vertAlign w:val="baseline"/>
                <w:lang w:val="en-US" w:eastAsia="zh-CN"/>
              </w:rPr>
              <w:t>，</w:t>
            </w:r>
            <w:r>
              <w:rPr>
                <w:rFonts w:hint="default" w:ascii="方正仿宋_GB2312" w:hAnsi="方正仿宋_GB2312" w:eastAsia="方正仿宋_GB2312" w:cs="方正仿宋_GB2312"/>
                <w:b w:val="0"/>
                <w:bCs w:val="0"/>
                <w:sz w:val="24"/>
                <w:szCs w:val="24"/>
                <w:vertAlign w:val="baseline"/>
                <w:lang w:val="en-US" w:eastAsia="zh-CN"/>
              </w:rPr>
              <w:t>运用合理</w:t>
            </w:r>
            <w:r>
              <w:rPr>
                <w:rFonts w:hint="eastAsia" w:ascii="方正仿宋_GB2312" w:hAnsi="方正仿宋_GB2312" w:eastAsia="方正仿宋_GB2312" w:cs="方正仿宋_GB2312"/>
                <w:b w:val="0"/>
                <w:bCs w:val="0"/>
                <w:sz w:val="24"/>
                <w:szCs w:val="24"/>
                <w:vertAlign w:val="baseline"/>
                <w:lang w:val="en-US" w:eastAsia="zh-CN"/>
              </w:rPr>
              <w:t>；</w:t>
            </w:r>
            <w:r>
              <w:rPr>
                <w:rFonts w:hint="default" w:ascii="方正仿宋_GB2312" w:hAnsi="方正仿宋_GB2312" w:eastAsia="方正仿宋_GB2312" w:cs="方正仿宋_GB2312"/>
                <w:b w:val="0"/>
                <w:bCs w:val="0"/>
                <w:sz w:val="24"/>
                <w:szCs w:val="24"/>
                <w:vertAlign w:val="baseline"/>
                <w:lang w:val="en-US" w:eastAsia="zh-CN"/>
              </w:rPr>
              <w:t>攻防战术配合意识强;位置技术好，在组织、助攻、篮板、盖帽、抢断、协防、得分等指标上表现突出，综合能力强。</w:t>
            </w:r>
          </w:p>
        </w:tc>
      </w:tr>
      <w:tr w14:paraId="1FA9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vAlign w:val="center"/>
          </w:tcPr>
          <w:p w14:paraId="28C0C92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良（24.9-20）</w:t>
            </w:r>
          </w:p>
        </w:tc>
        <w:tc>
          <w:tcPr>
            <w:tcW w:w="6570" w:type="dxa"/>
            <w:vAlign w:val="center"/>
          </w:tcPr>
          <w:p w14:paraId="1BCA0DC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default" w:ascii="方正仿宋_GB2312" w:hAnsi="方正仿宋_GB2312" w:eastAsia="方正仿宋_GB2312" w:cs="方正仿宋_GB2312"/>
                <w:b w:val="0"/>
                <w:bCs w:val="0"/>
                <w:sz w:val="24"/>
                <w:szCs w:val="24"/>
                <w:vertAlign w:val="baseline"/>
                <w:lang w:val="en-US" w:eastAsia="zh-CN"/>
              </w:rPr>
              <w:t>进攻、防守技术动作规范、协调，运用较合理</w:t>
            </w:r>
            <w:r>
              <w:rPr>
                <w:rFonts w:hint="eastAsia" w:ascii="方正仿宋_GB2312" w:hAnsi="方正仿宋_GB2312" w:eastAsia="方正仿宋_GB2312" w:cs="方正仿宋_GB2312"/>
                <w:b w:val="0"/>
                <w:bCs w:val="0"/>
                <w:sz w:val="24"/>
                <w:szCs w:val="24"/>
                <w:vertAlign w:val="baseline"/>
                <w:lang w:val="en-US" w:eastAsia="zh-CN"/>
              </w:rPr>
              <w:t>；</w:t>
            </w:r>
            <w:r>
              <w:rPr>
                <w:rFonts w:hint="default" w:ascii="方正仿宋_GB2312" w:hAnsi="方正仿宋_GB2312" w:eastAsia="方正仿宋_GB2312" w:cs="方正仿宋_GB2312"/>
                <w:b w:val="0"/>
                <w:bCs w:val="0"/>
                <w:sz w:val="24"/>
                <w:szCs w:val="24"/>
                <w:vertAlign w:val="baseline"/>
                <w:lang w:val="en-US" w:eastAsia="zh-CN"/>
              </w:rPr>
              <w:t>攻防战术配合意识较强;位置技术较好，在组织、助攻、篮板、盖帽、抢断、办防、得分等指标上表现较好，综合能力较强</w:t>
            </w:r>
            <w:r>
              <w:rPr>
                <w:rFonts w:hint="eastAsia" w:ascii="方正仿宋_GB2312" w:hAnsi="方正仿宋_GB2312" w:eastAsia="方正仿宋_GB2312" w:cs="方正仿宋_GB2312"/>
                <w:b w:val="0"/>
                <w:bCs w:val="0"/>
                <w:sz w:val="24"/>
                <w:szCs w:val="24"/>
                <w:vertAlign w:val="baseline"/>
                <w:lang w:val="en-US" w:eastAsia="zh-CN"/>
              </w:rPr>
              <w:t>。</w:t>
            </w:r>
          </w:p>
        </w:tc>
      </w:tr>
      <w:tr w14:paraId="3A85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vAlign w:val="center"/>
          </w:tcPr>
          <w:p w14:paraId="01C7CA1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中（19.9-15）</w:t>
            </w:r>
          </w:p>
        </w:tc>
        <w:tc>
          <w:tcPr>
            <w:tcW w:w="6570" w:type="dxa"/>
            <w:vAlign w:val="center"/>
          </w:tcPr>
          <w:p w14:paraId="29A040C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default" w:ascii="方正仿宋_GB2312" w:hAnsi="方正仿宋_GB2312" w:eastAsia="方正仿宋_GB2312" w:cs="方正仿宋_GB2312"/>
                <w:b w:val="0"/>
                <w:bCs w:val="0"/>
                <w:sz w:val="24"/>
                <w:szCs w:val="24"/>
                <w:vertAlign w:val="baseline"/>
                <w:lang w:val="en-US" w:eastAsia="zh-CN"/>
              </w:rPr>
              <w:t>进攻、防守技术动作基本规范，运用基本合理</w:t>
            </w:r>
            <w:r>
              <w:rPr>
                <w:rFonts w:hint="eastAsia" w:ascii="方正仿宋_GB2312" w:hAnsi="方正仿宋_GB2312" w:eastAsia="方正仿宋_GB2312" w:cs="方正仿宋_GB2312"/>
                <w:b w:val="0"/>
                <w:bCs w:val="0"/>
                <w:sz w:val="24"/>
                <w:szCs w:val="24"/>
                <w:vertAlign w:val="baseline"/>
                <w:lang w:val="en-US" w:eastAsia="zh-CN"/>
              </w:rPr>
              <w:t>；</w:t>
            </w:r>
            <w:r>
              <w:rPr>
                <w:rFonts w:hint="default" w:ascii="方正仿宋_GB2312" w:hAnsi="方正仿宋_GB2312" w:eastAsia="方正仿宋_GB2312" w:cs="方正仿宋_GB2312"/>
                <w:b w:val="0"/>
                <w:bCs w:val="0"/>
                <w:sz w:val="24"/>
                <w:szCs w:val="24"/>
                <w:vertAlign w:val="baseline"/>
                <w:lang w:val="en-US" w:eastAsia="zh-CN"/>
              </w:rPr>
              <w:t>攻防战术配合意识一般;位置技术一般，在组织、助攻、篮板、盖帽、抢断、协防、得分等指标上表现一般，综合能力一般。</w:t>
            </w:r>
          </w:p>
        </w:tc>
      </w:tr>
      <w:tr w14:paraId="7B4F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vAlign w:val="center"/>
          </w:tcPr>
          <w:p w14:paraId="21CD7E7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eastAsia" w:ascii="方正仿宋_GB2312" w:hAnsi="方正仿宋_GB2312" w:eastAsia="方正仿宋_GB2312" w:cs="方正仿宋_GB2312"/>
                <w:b w:val="0"/>
                <w:bCs w:val="0"/>
                <w:sz w:val="24"/>
                <w:szCs w:val="24"/>
                <w:vertAlign w:val="baseline"/>
                <w:lang w:val="en-US" w:eastAsia="zh-CN"/>
              </w:rPr>
              <w:t>差（14.9以下）</w:t>
            </w:r>
          </w:p>
        </w:tc>
        <w:tc>
          <w:tcPr>
            <w:tcW w:w="6570" w:type="dxa"/>
            <w:vAlign w:val="center"/>
          </w:tcPr>
          <w:p w14:paraId="0ED00F0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方正仿宋_GB2312" w:hAnsi="方正仿宋_GB2312" w:eastAsia="方正仿宋_GB2312" w:cs="方正仿宋_GB2312"/>
                <w:b w:val="0"/>
                <w:bCs w:val="0"/>
                <w:sz w:val="24"/>
                <w:szCs w:val="24"/>
                <w:vertAlign w:val="baseline"/>
                <w:lang w:val="en-US" w:eastAsia="zh-CN"/>
              </w:rPr>
            </w:pPr>
            <w:r>
              <w:rPr>
                <w:rFonts w:hint="default" w:ascii="方正仿宋_GB2312" w:hAnsi="方正仿宋_GB2312" w:eastAsia="方正仿宋_GB2312" w:cs="方正仿宋_GB2312"/>
                <w:b w:val="0"/>
                <w:bCs w:val="0"/>
                <w:sz w:val="24"/>
                <w:szCs w:val="24"/>
                <w:vertAlign w:val="baseline"/>
                <w:lang w:val="en-US" w:eastAsia="zh-CN"/>
              </w:rPr>
              <w:t>进攻、防守技术动作不规范、不协调，运用不合理;攻防战术配合意识差</w:t>
            </w:r>
            <w:r>
              <w:rPr>
                <w:rFonts w:hint="eastAsia" w:ascii="方正仿宋_GB2312" w:hAnsi="方正仿宋_GB2312" w:eastAsia="方正仿宋_GB2312" w:cs="方正仿宋_GB2312"/>
                <w:b w:val="0"/>
                <w:bCs w:val="0"/>
                <w:sz w:val="24"/>
                <w:szCs w:val="24"/>
                <w:vertAlign w:val="baseline"/>
                <w:lang w:val="en-US" w:eastAsia="zh-CN"/>
              </w:rPr>
              <w:t>；</w:t>
            </w:r>
            <w:r>
              <w:rPr>
                <w:rFonts w:hint="default" w:ascii="方正仿宋_GB2312" w:hAnsi="方正仿宋_GB2312" w:eastAsia="方正仿宋_GB2312" w:cs="方正仿宋_GB2312"/>
                <w:b w:val="0"/>
                <w:bCs w:val="0"/>
                <w:sz w:val="24"/>
                <w:szCs w:val="24"/>
                <w:vertAlign w:val="baseline"/>
                <w:lang w:val="en-US" w:eastAsia="zh-CN"/>
              </w:rPr>
              <w:t>位置技术差，在组织、助攻、篮板、盖帽、抢断、办防、得分等指标上表现较差，综合能力差。</w:t>
            </w:r>
          </w:p>
        </w:tc>
      </w:tr>
    </w:tbl>
    <w:p w14:paraId="60697F1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center"/>
        <w:textAlignment w:val="auto"/>
        <w:rPr>
          <w:rFonts w:hint="default" w:ascii="仿宋" w:hAnsi="仿宋" w:eastAsia="仿宋" w:cs="仿宋"/>
          <w:sz w:val="32"/>
          <w:szCs w:val="32"/>
          <w:lang w:val="en-US" w:eastAsia="zh-CN"/>
        </w:rPr>
      </w:pPr>
      <w:r>
        <w:rPr>
          <w:rFonts w:hint="default" w:ascii="方正仿宋_GB2312" w:hAnsi="方正仿宋_GB2312" w:eastAsia="方正仿宋_GB2312" w:cs="方正仿宋_GB2312"/>
          <w:b w:val="0"/>
          <w:bCs w:val="0"/>
          <w:sz w:val="24"/>
          <w:szCs w:val="24"/>
          <w:lang w:val="en-US" w:eastAsia="zh-CN"/>
        </w:rPr>
        <w:t>注</w:t>
      </w:r>
      <w:r>
        <w:rPr>
          <w:rFonts w:hint="eastAsia" w:ascii="方正仿宋_GB2312" w:hAnsi="方正仿宋_GB2312" w:eastAsia="方正仿宋_GB2312" w:cs="方正仿宋_GB2312"/>
          <w:b w:val="0"/>
          <w:bCs w:val="0"/>
          <w:sz w:val="24"/>
          <w:szCs w:val="24"/>
          <w:lang w:val="en-US" w:eastAsia="zh-CN"/>
        </w:rPr>
        <w:t>：</w:t>
      </w:r>
      <w:r>
        <w:rPr>
          <w:rFonts w:hint="default" w:ascii="方正仿宋_GB2312" w:hAnsi="方正仿宋_GB2312" w:eastAsia="方正仿宋_GB2312" w:cs="方正仿宋_GB2312"/>
          <w:b w:val="0"/>
          <w:bCs w:val="0"/>
          <w:sz w:val="24"/>
          <w:szCs w:val="24"/>
          <w:lang w:val="en-US" w:eastAsia="zh-CN"/>
        </w:rPr>
        <w:t>考试方法涉及到的场地尺寸、器材标准均执行国际篮联官方最新规则。</w:t>
      </w:r>
    </w:p>
    <w:p w14:paraId="468BB860">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DFC35A-E095-4909-9C14-BDF9BE5476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2" w:fontKey="{EFB914C3-54E8-4A72-9257-4A59220461A9}"/>
  </w:font>
  <w:font w:name="仿宋_GB2312">
    <w:panose1 w:val="02010609030101010101"/>
    <w:charset w:val="86"/>
    <w:family w:val="auto"/>
    <w:pitch w:val="default"/>
    <w:sig w:usb0="00000001" w:usb1="080E0000" w:usb2="00000000" w:usb3="00000000" w:csb0="00040000" w:csb1="00000000"/>
    <w:embedRegular r:id="rId3" w:fontKey="{9047696F-6805-4633-9CBC-FEF8CC034494}"/>
  </w:font>
  <w:font w:name="仿宋">
    <w:panose1 w:val="02010609060101010101"/>
    <w:charset w:val="86"/>
    <w:family w:val="auto"/>
    <w:pitch w:val="default"/>
    <w:sig w:usb0="800002BF" w:usb1="38CF7CFA" w:usb2="00000016" w:usb3="00000000" w:csb0="00040001" w:csb1="00000000"/>
    <w:embedRegular r:id="rId4" w:fontKey="{6A276058-2D0A-491A-AF24-35BE4259C8F8}"/>
  </w:font>
  <w:font w:name="方正仿宋_GB2312">
    <w:altName w:val="仿宋"/>
    <w:panose1 w:val="02000000000000000000"/>
    <w:charset w:val="86"/>
    <w:family w:val="auto"/>
    <w:pitch w:val="default"/>
    <w:sig w:usb0="00000000" w:usb1="00000000" w:usb2="00000012" w:usb3="00000000" w:csb0="00040001" w:csb1="00000000"/>
    <w:embedRegular r:id="rId5" w:fontKey="{37ECD401-211E-44F8-B8B0-7D9228667E7A}"/>
  </w:font>
  <w:font w:name="KSOFE8852770">
    <w:panose1 w:val="02010609060101010101"/>
    <w:charset w:val="86"/>
    <w:family w:val="auto"/>
    <w:pitch w:val="default"/>
    <w:sig w:usb0="00000001" w:usb1="00000000" w:usb2="00000000" w:usb3="00000000" w:csb0="00040001" w:csb1="00000000"/>
  </w:font>
  <w:font w:name="KSOFE8859BCF">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embedRegular r:id="rId6" w:fontKey="{F4DB6179-B729-4F94-8A8F-6489715CECD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76F52"/>
    <w:rsid w:val="03445F6A"/>
    <w:rsid w:val="0B487D2A"/>
    <w:rsid w:val="0E190265"/>
    <w:rsid w:val="13B80E3C"/>
    <w:rsid w:val="1A43283C"/>
    <w:rsid w:val="1DE54FC4"/>
    <w:rsid w:val="20D15D44"/>
    <w:rsid w:val="24B62235"/>
    <w:rsid w:val="2C18674D"/>
    <w:rsid w:val="2F3B1BCF"/>
    <w:rsid w:val="2F9C5AF8"/>
    <w:rsid w:val="379C2FA6"/>
    <w:rsid w:val="4EC155E5"/>
    <w:rsid w:val="4F3612B9"/>
    <w:rsid w:val="4F3855EC"/>
    <w:rsid w:val="53AD773B"/>
    <w:rsid w:val="5CDA50CA"/>
    <w:rsid w:val="644861AA"/>
    <w:rsid w:val="68611D28"/>
    <w:rsid w:val="738D5656"/>
    <w:rsid w:val="75995F89"/>
    <w:rsid w:val="7F651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Paragraph"/>
    <w:basedOn w:val="1"/>
    <w:qFormat/>
    <w:uiPriority w:val="1"/>
    <w:pPr>
      <w:ind w:left="228"/>
      <w:jc w:val="center"/>
    </w:pPr>
    <w:rPr>
      <w:rFonts w:ascii="微软雅黑" w:hAnsi="微软雅黑" w:eastAsia="微软雅黑" w:cs="微软雅黑"/>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1642</Words>
  <Characters>1909</Characters>
  <Paragraphs>38</Paragraphs>
  <TotalTime>2</TotalTime>
  <ScaleCrop>false</ScaleCrop>
  <LinksUpToDate>false</LinksUpToDate>
  <CharactersWithSpaces>1951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2025-05-27T02:06:00Z</dcterms:created>
  <dc:creator>lxn</dc:creator>
  <cp:lastModifiedBy>幽幽我心</cp:lastModifiedBy>
  <dcterms:modified xsi:type="dcterms:W3CDTF">2026-05-26T10:01:01Z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52BFFBE6648A419794C8381CAEF7D6AC_13</vt:lpwstr>
  </property>
</Properties>
</file>